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b/>
          <w:bCs/>
          <w:sz w:val="30"/>
          <w:szCs w:val="30"/>
        </w:rPr>
        <w:t xml:space="preserve">Integrating offloading, adherence monitoring and behaviour change to prevent diabetic foot ulcer recurrence: protocol for the PARADISE multicentre randomised controlled trial</w:t>
      </w:r>
    </w:p>
    <w:p>
      <w:pPr>
        <w:spacing w:after="140" w:line="276"/>
        <w:jc w:val="both"/>
      </w:pPr>
      <w:r>
        <w:rPr>
          <w:b/>
          <w:bCs/>
          <w:sz w:val="22"/>
          <w:szCs w:val="22"/>
        </w:rPr>
        <w:t xml:space="preserve">Running title:</w:t>
      </w:r>
      <w:r>
        <w:rPr>
          <w:sz w:val="22"/>
          <w:szCs w:val="22"/>
        </w:rPr>
        <w:t xml:space="preserve"> PARADISE trial protocol</w:t>
      </w:r>
    </w:p>
    <w:p>
      <w:pPr>
        <w:spacing w:after="140" w:line="276"/>
        <w:jc w:val="both"/>
      </w:pPr>
      <w:r>
        <w:rPr>
          <w:b/>
          <w:bCs/>
          <w:sz w:val="22"/>
          <w:szCs w:val="22"/>
        </w:rPr>
        <w:t xml:space="preserve">Authors:</w:t>
      </w:r>
    </w:p>
    <w:p>
      <w:pPr>
        <w:spacing w:after="140" w:line="276"/>
        <w:jc w:val="both"/>
      </w:pPr>
      <w:r>
        <w:rPr>
          <w:b/>
          <w:bCs/>
          <w:sz w:val="22"/>
          <w:szCs w:val="22"/>
        </w:rPr>
        <w:t xml:space="preserve">Affiliations:</w:t>
      </w:r>
    </w:p>
    <w:p>
      <w:pPr>
        <w:spacing w:after="140" w:line="276"/>
        <w:jc w:val="both"/>
      </w:pPr>
      <w:r>
        <w:rPr>
          <w:b/>
          <w:bCs/>
          <w:sz w:val="22"/>
          <w:szCs w:val="22"/>
        </w:rPr>
        <w:t xml:space="preserve">Corresponding author:</w:t>
      </w:r>
    </w:p>
    <w:p>
      <w:pPr>
        <w:pStyle w:val="Heading1"/>
        <w:spacing w:after="160" w:before="320"/>
      </w:pPr>
      <w:r>
        <w:t xml:space="preserve">Abstract</w:t>
      </w:r>
    </w:p>
    <w:p>
      <w:pPr>
        <w:spacing w:after="140" w:line="276"/>
        <w:jc w:val="both"/>
      </w:pPr>
      <w:r>
        <w:rPr>
          <w:b/>
          <w:bCs/>
          <w:sz w:val="22"/>
          <w:szCs w:val="22"/>
        </w:rPr>
        <w:t xml:space="preserve">Background.</w:t>
      </w:r>
      <w:r>
        <w:rPr>
          <w:sz w:val="22"/>
          <w:szCs w:val="22"/>
        </w:rPr>
        <w:t xml:space="preserve"> Roughly 40% of people with diabetes ulcerate again within one year of healing a foot ulcer, and 65% within five. The mechanism is established — repetitive plantar stress on a foot that has lost protective sensation — and two interventions follow from it. Neither has succeeded alone. The pivotal randomised trial of pressure-optimised custom footwear was null on its primary endpoint and benefited only the minority who wore the footwear as prescribed; patient education delivered in one or two sessions has shown no protective effect against recurrence in controlled studies. Objective sensor-based measurement now makes adherence a modifiable target rather than an inferred one, and prospective data show that failing to achieve both adequate offloading and adequate wear independently predicts recurrence. Whether these components succeed when integrated into a single service and delivered by generalist multidisciplinary teams under routine caseloads has not been tested.</w:t>
      </w:r>
    </w:p>
    <w:p>
      <w:pPr>
        <w:spacing w:after="140" w:line="276"/>
        <w:jc w:val="both"/>
      </w:pPr>
      <w:r>
        <w:rPr>
          <w:b/>
          <w:bCs/>
          <w:sz w:val="22"/>
          <w:szCs w:val="22"/>
        </w:rPr>
        <w:t xml:space="preserve">Methods.</w:t>
      </w:r>
      <w:r>
        <w:rPr>
          <w:sz w:val="22"/>
          <w:szCs w:val="22"/>
        </w:rPr>
        <w:t xml:space="preserve"> PARADISE is a multicentre, parallel-group, open-label superiority randomised controlled trial in six Belgian Diabetic Foot Clinics (three academic, three non-academic). We will randomise 144 adults with diabetes at International Working Group on the Diabetic Foot risk category 3 — a healed plantar ulcer or qualifying minor amputation within the preceding 18 months — 1:1 to usual care or to usual care plus PARADISE, stratified by centre with variable permuted blocks. PARADISE combines iterative pressure-guided optimisation of custom-made foot orthoses to a target of in-shoe peak plantar pressure below 200 kPa or a reduction of at least 25% from baseline, continuous temperature-sensor monitoring of footwear wear time, and a five-step Structured Education and Behavioural Intervention Approach constructed against the Capability–Opportunity–Motivation–Behaviour model. Co-primary outcomes over 18 months are foot ulcer recurrence and footwear adherence, expressed as the proportion of an individualised, activity-derived wear-time target achieved. The trial is declared positive only if both co-primary endpoints reach significance at two-sided α = 0.05; no multiplicity adjustment is therefore applied. A within-trial cost-utility analysis with Markov extrapolation and a logic-model-guided mixed-methods process evaluation are embedded. Concurrent measurement of plantar pressure, weight-bearing activity and offloading wear time additionally permits a pre-specified exploratory estimate of the relationship between cumulative plantar tissue stress and ulceration — the three constituents of that construct have not previously been captured together in a randomised trial of this duration.</w:t>
      </w:r>
    </w:p>
    <w:p>
      <w:pPr>
        <w:spacing w:after="140" w:line="276"/>
        <w:jc w:val="both"/>
      </w:pPr>
      <w:r>
        <w:rPr>
          <w:b/>
          <w:bCs/>
          <w:sz w:val="22"/>
          <w:szCs w:val="22"/>
        </w:rPr>
        <w:t xml:space="preserve">Discussion.</w:t>
      </w:r>
      <w:r>
        <w:rPr>
          <w:sz w:val="22"/>
          <w:szCs w:val="22"/>
        </w:rPr>
        <w:t xml:space="preserve"> PARADISE tests translation rather than efficacy. Its components were developed in specialist research and private-practice settings; the question is whether they retain effect when delivered by generalist teams under routine conditions. The embedded process evaluation is designed so that a null clinical result can be distinguished from an implementation failure rather than confused with one. Because the three determinants of plantar tissue loading are recorded concurrently throughout, the trial yields a dose–response dataset whose value does not depend on the direction of the primary result. No effectiveness, safety or cost-utility conclusions can be drawn until the trial completes.</w:t>
      </w:r>
    </w:p>
    <w:p>
      <w:pPr>
        <w:spacing w:after="140" w:line="276"/>
        <w:jc w:val="both"/>
      </w:pPr>
      <w:r>
        <w:rPr>
          <w:b/>
          <w:bCs/>
          <w:sz w:val="22"/>
          <w:szCs w:val="22"/>
        </w:rPr>
        <w:t xml:space="preserve">Trial registration.</w:t>
      </w:r>
      <w:r>
        <w:rPr>
          <w:sz w:val="22"/>
          <w:szCs w:val="22"/>
        </w:rPr>
        <w:t xml:space="preserve"> ClinicalTrials.gov ▮ (registered ▮).</w:t>
      </w:r>
    </w:p>
    <w:p>
      <w:pPr>
        <w:spacing w:after="140" w:line="276"/>
        <w:jc w:val="both"/>
      </w:pPr>
      <w:r>
        <w:rPr>
          <w:b/>
          <w:bCs/>
          <w:sz w:val="22"/>
          <w:szCs w:val="22"/>
        </w:rPr>
        <w:t xml:space="preserve">Keywords:</w:t>
      </w:r>
      <w:r>
        <w:rPr>
          <w:sz w:val="22"/>
          <w:szCs w:val="22"/>
        </w:rPr>
        <w:t xml:space="preserve"> diabetic foot; ulcer recurrence; offloading; plantar pressure; footwear adherence; custom-made foot orthosis; behaviour change; randomised controlled trial; study protocol</w:t>
      </w:r>
    </w:p>
    <w:p>
      <w:pPr>
        <w:pStyle w:val="Heading1"/>
        <w:spacing w:after="160" w:before="320"/>
      </w:pPr>
      <w:r>
        <w:t xml:space="preserve">Introduction</w:t>
      </w:r>
    </w:p>
    <w:p>
      <w:pPr>
        <w:spacing w:after="140" w:line="276"/>
        <w:jc w:val="both"/>
      </w:pPr>
      <w:r>
        <w:rPr>
          <w:sz w:val="22"/>
          <w:szCs w:val="22"/>
        </w:rPr>
        <w:t xml:space="preserve">Foot ulceration is the most frequently recognised lower-extremity complication of diabetes, affecting between 19% and 34% of people with diabetes during their lifetime [1]. Its consequences are disproportionate to the clinical attention it attracts. Five-year mortality among people with a diabetes-related foot ulcer is 2.5 times that of people with diabetes and no ulcer; more than half of ulcers become infected; approximately one in five moderate or severe infections leads to amputation, after which five-year mortality exceeds 70% [1]. Direct treatment costs for diabetic foot complications exceed those of many common cancers [1].</w:t>
      </w:r>
    </w:p>
    <w:p>
      <w:pPr>
        <w:spacing w:after="140" w:line="276"/>
        <w:jc w:val="both"/>
      </w:pPr>
      <w:r>
        <w:rPr>
          <w:sz w:val="22"/>
          <w:szCs w:val="22"/>
        </w:rPr>
        <w:t xml:space="preserve">The central clinical problem, however, is not healing. In specialised European centres approximately 77% of ulcers heal within one year [1]. The problem is what follows. Pooling nineteen studies — prospective cohorts, one retrospective series, and the usual-care arms of nine randomised trials — Armstrong and colleagues estimated that roughly 40% of patients ulcerate again within one year of healing, almost 60% within three years and 65% within five [1]. Wound closure is therefore better understood as remission than cure, and the clinically meaningful target is not the healing rate but the accumulation of ulcer-free days across a lifetime of persistent risk [1].</w:t>
      </w:r>
    </w:p>
    <w:p>
      <w:pPr>
        <w:spacing w:after="140" w:line="276"/>
        <w:jc w:val="both"/>
      </w:pPr>
      <w:r>
        <w:rPr>
          <w:sz w:val="22"/>
          <w:szCs w:val="22"/>
        </w:rPr>
        <w:t xml:space="preserve">Recurrence is common because healing resolves the wound without resolving its cause. Peripheral neuropathy, foot deformity, elevated plantar stress and peripheral artery disease persist unchanged after epithelialisation [1]. The proximate mechanism is mechanical: repetitive vertical and shear stress applied to a foot that has lost the protective sensation which would otherwise interrupt it [1]. This mechanism distinguishes diabetes-related foot disease from most chronic wounds, and it is why approximately three-quarters of foot ulcers are considered preventable in principle [2]. The distance between that theoretical preventability and an observed one-year recurrence rate of 40% defines the problem this trial addresses.</w:t>
      </w:r>
    </w:p>
    <w:p>
      <w:pPr>
        <w:spacing w:after="140" w:line="276"/>
        <w:jc w:val="both"/>
      </w:pPr>
      <w:r>
        <w:rPr>
          <w:sz w:val="22"/>
          <w:szCs w:val="22"/>
        </w:rPr>
        <w:t xml:space="preserve">Interventions targeting this mechanism have been tested along three lines. The evidence for each is more equivocal than guideline endorsement suggests.</w:t>
      </w:r>
    </w:p>
    <w:p>
      <w:pPr>
        <w:spacing w:after="140" w:line="276"/>
        <w:jc w:val="both"/>
      </w:pPr>
      <w:r>
        <w:rPr>
          <w:sz w:val="22"/>
          <w:szCs w:val="22"/>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Yet the pivotal multicentre randomised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Benefit appeared only among the 46% of participants who wore the footwear as prescribed: recurrence in that subgroup was 25.7% with improved footwear versus 47.8% with usual care (odds ratio 0.38, 95% CI 0.15–0.99, p = 0.045) [5]. The trial's conclusion was accordingly conditional — improved offloading does not reduce recurrence unless it is worn as recommended [5].</w:t>
      </w:r>
    </w:p>
    <w:p>
      <w:pPr>
        <w:spacing w:after="140" w:line="276"/>
        <w:jc w:val="both"/>
      </w:pPr>
      <w:r>
        <w:rPr>
          <w:sz w:val="22"/>
          <w:szCs w:val="22"/>
        </w:rPr>
        <w:t xml:space="preserve">The second is patient education, where the evidence is weaker still.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Education as conventionally delivered — a single knowledge-transfer encounter — does not prevent recurrent ulceration.</w:t>
      </w:r>
    </w:p>
    <w:p>
      <w:pPr>
        <w:spacing w:after="140" w:line="276"/>
        <w:jc w:val="both"/>
      </w:pPr>
      <w:r>
        <w:rPr>
          <w:sz w:val="22"/>
          <w:szCs w:val="22"/>
        </w:rPr>
        <w:t xml:space="preserve">The third is continuous digital pressure feedback. In a randomised proof-of-concept study, an intelligent insole system delivering real-time audiovisual alerts and offloading instructions when sustained high pressure was detected reduced plantar ulcer recurrence over 18 months, but the reduction was concentrated among adherent users [23]. Three separate strategies — optimised passive offloading, conventional education, and continuous digital pressure feedback — have now produced the same pattern: an effect that is real but conditional on sustained patient behaviour.</w:t>
      </w:r>
    </w:p>
    <w:p>
      <w:pPr>
        <w:spacing w:after="140" w:line="276"/>
        <w:jc w:val="both"/>
      </w:pPr>
      <w:r>
        <w:rPr>
          <w:sz w:val="22"/>
          <w:szCs w:val="22"/>
        </w:rPr>
        <w:t xml:space="preserve">These failures share a cause. Each approach is efficacious only insofar as patient behaviour delivers it, and in this population it usually does not. Objective sensor-based measurement in 107 high-risk patients found mean adherence to prescribed custom footwear of 71 ± 25%, falling to 61 ± 32% at home, where most steps are taken [8]; fewer than one-third of patients wear prescribed footwear more than 80% of the time [5,8]. These two determinants are not independent quantities but components of one construct. The mechanical load borne by plantar tissue over time — cumulative plantar tissue stress — is the product of the pressure applied, the volume of weight-bearing activity performed, and whether offloading was worn while performing it [24]. Offloading optimisation reduces the first term; adherence governs the third. This construct is the most theoretically complete predictor of plantar ulceration available, and it has proved almost impossible to capture: in two prospective cohorts assembled specifically to measure it, complete data were obtained for 38% of participants at baseline and 8% during follow-up in one, and 8% and 0% respectively in the other [25]. The strongest available evidence relating it to future ulceration remains observational and limited to twelve months [26]. Critically, offloading and adherence interact rather than substitute: in prospective analysis of neuropathic patients, the absence of both in-shoe peak pressure below 200 kPa and footwear adherence above 80% independently predicted plantar ulcer recurrence [1,9]. Pressure optimisation cannot protect tissue the device never contacts; faithful wear of poorly optimised footwear delivers insufficient offloading. Neither suffices alone, and no adequately powered trial has evaluated them together as a single service.</w:t>
      </w:r>
    </w:p>
    <w:p>
      <w:pPr>
        <w:spacing w:after="140" w:line="276"/>
        <w:jc w:val="both"/>
      </w:pPr>
      <w:r>
        <w:rPr>
          <w:sz w:val="22"/>
          <w:szCs w:val="22"/>
        </w:rPr>
        <w:t xml:space="preserve">That evaluation is now both possible and timely, for three reasons.</w:t>
      </w:r>
    </w:p>
    <w:p>
      <w:pPr>
        <w:spacing w:after="140" w:line="276"/>
        <w:jc w:val="both"/>
      </w:pPr>
      <w:r>
        <w:rPr>
          <w:sz w:val="22"/>
          <w:szCs w:val="22"/>
        </w:rPr>
        <w:t xml:space="preserve">Adherence has historically been unmeasurable in routine care. Self-report systematically overestimates wear time, leaving clinicians unable to distinguish an ineffective device from an unworn one — and a service that cannot make that distinction cannot correct it. Temperature-sensor monitoring of orthopaedic footwear use has since been validated as feasible and accurate [10], converting adherence from an untestable assumption into a measurable, modifiable target. PARADISE therefore treats adherence as a co-primary outcome rather than a mediator inferred after the fact.</w:t>
      </w:r>
    </w:p>
    <w:p>
      <w:pPr>
        <w:spacing w:after="140" w:line="276"/>
        <w:jc w:val="both"/>
      </w:pPr>
      <w:r>
        <w:rPr>
          <w:sz w:val="22"/>
          <w:szCs w:val="22"/>
        </w:rPr>
        <w:t xml:space="preserve">The failure of conventional education is theoretically explicable and therefore correctable. Under the Capability–Opportunity–Motivation–Behaviour (COM-B) model, knowledge transfer addresses capability alone, leaving opportunity and motivation — the determinants that plausibly govern whether footwear is worn at home, unobserved, over years — untouched [11]. A single session should not be expected to sustain behaviour change, and the empirical record confirms it does not [7]. What remains untested is whether education constructed to address all three COM-B components, delivered repeatedly and anchored to objective wear-time feedback, performs differently. Where adherence has been achieved in prior work, its associated effect has been substantial: mean risk reduction was 58.1% for adherence to therapeutic footwear and 85.5% for adherence to educational recommendations [1,6].</w:t>
      </w:r>
    </w:p>
    <w:p>
      <w:pPr>
        <w:spacing w:after="140" w:line="276"/>
        <w:jc w:val="both"/>
      </w:pPr>
      <w:r>
        <w:rPr>
          <w:sz w:val="22"/>
          <w:szCs w:val="22"/>
        </w:rPr>
        <w:t xml:space="preserve">Finally, the setting has changed. Belgium, like Germany, has ratified national certification standards for specialist diabetic foot services, with clinician training and its formal assessment constituting a major component of certification [12]. Belgian Diabetic Foot Clinics are multidisciplinary units recognised by the National Institute for Health and Disability Insurance (RIZIV–INAMI) and operating under defined minimum caseloads — precisely the generalist, routine-care environment in which any prevention service would ultimately have to function, and which has not been the setting for most of the component evidence base. The offloading evidence was generated in specialist research centres [5]; the adherence-monitoring evidence in private practice abroad, with only moderate implementation success [10].</w:t>
      </w:r>
    </w:p>
    <w:p>
      <w:pPr>
        <w:spacing w:after="140" w:line="276"/>
        <w:jc w:val="both"/>
      </w:pPr>
      <w:r>
        <w:rPr>
          <w:sz w:val="22"/>
          <w:szCs w:val="22"/>
        </w:rPr>
        <w:t xml:space="preserve">PARADISE rests on two theoretically distinct but causally sequential foundations: a biomechanical model, in which plantar tissue stress is the proximate cause of recurrence and offloading the direct countermeasure, and a behavioural model, in which COM-B specifies the determinants that must be addressed for offloading to be applied at all. These are consecutive links in a single causal chain, not competing explanations of one phenomenon. The trial therefore carries co-primary outcomes mapped one-to-one onto each — recurrence onto the biomechanical pathway, adherence onto the behavioural — rather than a composite endpoint that would conceal which link, if either, produced any observed effect.</w:t>
      </w:r>
    </w:p>
    <w:p>
      <w:pPr>
        <w:spacing w:after="140" w:line="276"/>
        <w:jc w:val="both"/>
      </w:pPr>
      <w:r>
        <w:rPr>
          <w:sz w:val="22"/>
          <w:szCs w:val="22"/>
        </w:rPr>
        <w:t xml:space="preserve">We claim no novelty for any individual component. The closest precedent, the intelligent insole trial, addressed the same causal target by a different route: continuous real-time feedback delivered to the patient by wearable technology, tested as proof of concept in 90 participants at two centres [23]. PARADISE differs in mechanism, in scale and in intent. It places the behavioural work with the clinical team rather than the device, uses sensor data periodically to structure counselling rather than continuously to trigger alerts, and optimises the passive offloading properties of the orthosis itself rather than prompting the patient to unload in the moment. These are complementary strategies, and the distinction matters for implementation: a clinician-delivered service requires no consumer wearable, no continuous data pipeline and no sustained patient interaction with an alerting device, but it does require trained staff and clinic time. What has never been evaluated in an adequately powered multicentre randomised trial is the integration of these components into a single service delivered by generalist multidisciplinary teams under routine caseloads. Whether an approach assembled from components that individually failed succeeds when combined and delivered where care actually happens is an empirical question with a determinate answer that the existing literature cannot supply.</w:t>
      </w:r>
    </w:p>
    <w:p>
      <w:pPr>
        <w:spacing w:after="140" w:line="276"/>
        <w:jc w:val="both"/>
      </w:pPr>
      <w:r>
        <w:rPr>
          <w:b/>
          <w:bCs/>
          <w:sz w:val="22"/>
          <w:szCs w:val="22"/>
        </w:rPr>
        <w:t xml:space="preserve">Objectives.</w:t>
      </w:r>
      <w:r>
        <w:rPr>
          <w:sz w:val="22"/>
          <w:szCs w:val="22"/>
        </w:rPr>
        <w:t xml:space="preserve"> The primary objective is to determine whether the Pressure-Adherence-Education Driven Service (PARADISE), delivered in addition to usual care, reduces the incidence of foot ulceration and increases adherence to prescribed protective footwear over 18 months, compared with usual care alone, in people with diabetes at high risk of foot complications.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A pre-specified exploratory objective is to estimate the relationship between cumulative plantar tissue stress and ulcer recurrence, exploiting the trial's simultaneous measurement of plantar pressure, weight-bearing activity and offloading wear time — the three constituents of that construct — in a design that deliberately manipulates two of them.</w:t>
      </w:r>
    </w:p>
    <w:p>
      <w:pPr>
        <w:spacing w:after="140" w:line="276"/>
        <w:jc w:val="both"/>
      </w:pPr>
      <w:r>
        <w:rPr>
          <w:b/>
          <w:bCs/>
          <w:sz w:val="22"/>
          <w:szCs w:val="22"/>
        </w:rPr>
        <w:t xml:space="preserve">Hypotheses.</w:t>
      </w:r>
      <w:r>
        <w:rPr>
          <w:sz w:val="22"/>
          <w:szCs w:val="22"/>
        </w:rPr>
        <w:t xml:space="preserve"> Participants allocated to PARADISE will demonstrate (i) a lower incidence of diabetes-related foot ulceration and (ii) higher adherence to prescribed protective footwear over 18 months than participants allocated to usual care. Both hypotheses are directional and are evaluated within a superiority framework; no non-inferiority or equivalence margin is defined.</w:t>
      </w:r>
    </w:p>
    <w:p>
      <w:pPr>
        <w:pStyle w:val="Heading1"/>
        <w:spacing w:after="160" w:before="320"/>
      </w:pPr>
      <w:r>
        <w:t xml:space="preserve">Methods</w:t>
      </w:r>
    </w:p>
    <w:p>
      <w:pPr>
        <w:spacing w:after="140" w:line="276"/>
        <w:jc w:val="both"/>
      </w:pPr>
      <w:r>
        <w:rPr>
          <w:sz w:val="22"/>
          <w:szCs w:val="22"/>
        </w:rPr>
        <w:t xml:space="preserve">The protocol is reported in accordance with the SPIRIT 2025 statement [13]. The SPIRIT figure — the schedule of enrolment, interventions and assessments — is presented as Table 2 in the main text, and the populated SPIRIT 2025 checklist, indicating the page on which each item appears, is provided as Additional file 1. Intervention reporting follows the TIDieR checklist [14] (Additional file 2). The trial's position on the explanatory–pragmatic continuum is characterised using PRECIS-2 [15] (Figure 4). Results will be reported in accordance with CONSORT 2025 [16].</w:t>
      </w:r>
    </w:p>
    <w:p>
      <w:pPr>
        <w:pStyle w:val="Heading2"/>
        <w:spacing w:after="120" w:before="260"/>
      </w:pPr>
      <w:r>
        <w:t xml:space="preserve">Trial design</w:t>
      </w:r>
    </w:p>
    <w:p>
      <w:pPr>
        <w:spacing w:after="140" w:line="276"/>
        <w:jc w:val="both"/>
      </w:pPr>
      <w:r>
        <w:rPr>
          <w:sz w:val="22"/>
          <w:szCs w:val="22"/>
        </w:rPr>
        <w:t xml:space="preserve">PARADISE is a multicentre, prospective, parallel-group, open-label, superiority randomised controlled trial with 1:1 allocation and 18-month participant follow-up. It combines a medical device intervention — custom-made foot orthoses with an embedded adherence sensor — with a behavioural intervention, and is regulated as a clinical investigation of a medical device under Regulation (EU) 2017/745. Three investigational work packages run in parallel: the randomised trial reported here, an embedded mixed-methods process evaluation, and a model-based health-economic evaluation.</w:t>
      </w:r>
    </w:p>
    <w:p>
      <w:pPr>
        <w:pStyle w:val="Heading2"/>
        <w:spacing w:after="120" w:before="260"/>
      </w:pPr>
      <w:r>
        <w:t xml:space="preserve">Setting</w:t>
      </w:r>
    </w:p>
    <w:p>
      <w:pPr>
        <w:spacing w:after="140" w:line="276"/>
        <w:jc w:val="both"/>
      </w:pPr>
      <w:r>
        <w:rPr>
          <w:sz w:val="22"/>
          <w:szCs w:val="22"/>
        </w:rPr>
        <w:t xml:space="preserve">Participants will be recruited from the multidisciplinary Diabetic Foot Clinics of six Belgian hospitals: three academic centres (University Hospitals Leuven; Ghent University Hospital; Antwerp University Hospital) and three non-academic centres (Azorg, Aalst; AZ Groeninge, Kortrijk; AZ Sint-Jan Brugge). Each has held RIZIV–INAMI recognition for more than ten years and operates a multidisciplinary team comprising a diabetologist, podiatrist, diabetes nurse, footwear technician or pedorthist, and an on-call surgeon. Retention of recognition requires each clinic to treat at least 52 patients annually with a Wagner grade ≥2 ulcer or acute neuropathic osteoarthropathy, establishing a defined minimum caseload across sites. The deliberate inclusion of non-academic alongside academic centres is a design commitment rather than a recruitment convenience: the trial's question concerns delivery under routine generalist conditions, which a purely academic sample could not address. All study assessments are performed on site. Site details are given in Table 1.</w:t>
      </w:r>
    </w:p>
    <w:p>
      <w:pPr>
        <w:pStyle w:val="Heading2"/>
        <w:spacing w:after="120" w:before="260"/>
      </w:pPr>
      <w:r>
        <w:t xml:space="preserve">Participants</w:t>
      </w:r>
    </w:p>
    <w:p>
      <w:pPr>
        <w:spacing w:after="140" w:line="276"/>
        <w:jc w:val="both"/>
      </w:pPr>
      <w:r>
        <w:rPr>
          <w:sz w:val="22"/>
          <w:szCs w:val="22"/>
        </w:rPr>
        <w:t xml:space="preserve">#### Eligibility criteria</w:t>
      </w:r>
    </w:p>
    <w:p>
      <w:pPr>
        <w:spacing w:after="140" w:line="276"/>
        <w:jc w:val="both"/>
      </w:pPr>
      <w:r>
        <w:rPr>
          <w:sz w:val="22"/>
          <w:szCs w:val="22"/>
        </w:rPr>
        <w:t xml:space="preserve">Eligible participants are adults aged 18 years or over with diabetes mellitus defined by American Diabetes Association / European Association for the Study of Diabetes criteria (excluding gestational diabetes), who are able to comprehend Dutch, and who present with an at-risk foot at IWGDF risk category 3 — that is, a plantar foot ulcer healed within the preceding 18 months and at least two weeks before inclusion, or a partial foot amputation of one or more toes excluding the hallux, or resection of one or more metatarsal heads excluding the first.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pPr>
        <w:spacing w:after="140" w:line="276"/>
        <w:jc w:val="both"/>
      </w:pPr>
      <w:r>
        <w:rPr>
          <w:sz w:val="22"/>
          <w:szCs w:val="22"/>
        </w:rPr>
        <w:t xml:space="preserve">Participants are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ischaemia,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pPr>
        <w:spacing w:after="140" w:line="276"/>
        <w:jc w:val="both"/>
      </w:pPr>
      <w:r>
        <w:rPr>
          <w:sz w:val="22"/>
          <w:szCs w:val="22"/>
        </w:rPr>
        <w:t xml:space="preserve">These criteria implement a single risk-stratification logic rather than an arbitrary checklist. Inclusion is anchored to IWGDF category 3 because this identifies the population in whom 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ischaemia requires revascularisation rather than pressure redistribution and would confound attribution of any observed effect. The mobility and footwear-acceptance criteria operationalise the practical precondition for both co-primary outcomes to be measurable. The exclusions for renal replacement therapy, immunosuppression and limited survival remove participants whose competing risks — of death, or of impaired healing unrelated to biomechanics — would dilute the trial's capacity to attribute ulcer outcomes to the intervention.</w:t>
      </w:r>
    </w:p>
    <w:p>
      <w:pPr>
        <w:spacing w:after="140" w:line="276"/>
        <w:jc w:val="both"/>
      </w:pPr>
      <w:r>
        <w:rPr>
          <w:sz w:val="22"/>
          <w:szCs w:val="22"/>
        </w:rPr>
        <w:t xml:space="preserve">#### Recruitment</w:t>
      </w:r>
    </w:p>
    <w:p>
      <w:pPr>
        <w:spacing w:after="140" w:line="276"/>
        <w:jc w:val="both"/>
      </w:pPr>
      <w:r>
        <w:rPr>
          <w:sz w:val="22"/>
          <w:szCs w:val="22"/>
        </w:rPr>
        <w:t>Participants will be identified through retrospective screening of outpatient visit schedules and prospective referral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pPr>
        <w:pStyle w:val="Heading2"/>
        <w:spacing w:after="120" w:before="260"/>
      </w:pPr>
      <w:r>
        <w:t xml:space="preserve">Interventions</w:t>
      </w:r>
    </w:p>
    <w:p>
      <w:pPr>
        <w:spacing w:after="140" w:line="276"/>
        <w:jc w:val="both"/>
      </w:pPr>
      <w:r>
        <w:rPr>
          <w:sz w:val="22"/>
          <w:szCs w:val="22"/>
        </w:rPr>
        <w:t xml:space="preserve">#### Comparator: usual care</w:t>
      </w:r>
    </w:p>
    <w:p>
      <w:pPr>
        <w:spacing w:after="140" w:line="276"/>
        <w:jc w:val="both"/>
      </w:pPr>
      <w:r>
        <w:rPr>
          <w:sz w:val="22"/>
          <w:szCs w:val="22"/>
        </w:rPr>
        <w:t xml:space="preserve">Participants allocated to usual care receive the standard multidisciplinary care currently provided to high-risk individuals with diabetes in Belgian Diabetic Foot Clinics,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A no-treatment comparator was rejected as unethical: usual care as delivered in a recognised Diabetic Foot Clinic is an active, guideline-concordant standard, and PARADISE is evaluated as an addition to it rather than a replacement for it. This choice sets a demanding benchmark and any observed effect is correspondingly incremental to contemporary best practice.</w:t>
      </w:r>
    </w:p>
    <w:p>
      <w:pPr>
        <w:spacing w:after="140" w:line="276"/>
        <w:jc w:val="both"/>
      </w:pPr>
      <w:r>
        <w:rPr>
          <w:sz w:val="22"/>
          <w:szCs w:val="22"/>
        </w:rPr>
        <w:t xml:space="preserve">#### Intervention: PARADISE</w:t>
      </w:r>
    </w:p>
    <w:p>
      <w:pPr>
        <w:spacing w:after="140" w:line="276"/>
        <w:jc w:val="both"/>
      </w:pPr>
      <w:r>
        <w:rPr>
          <w:sz w:val="22"/>
          <w:szCs w:val="22"/>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w:pPr>
        <w:spacing w:after="140" w:line="276"/>
        <w:jc w:val="both"/>
      </w:pPr>
      <w:r>
        <w:rPr>
          <w:b/>
          <w:bCs/>
          <w:sz w:val="22"/>
          <w:szCs w:val="22"/>
        </w:rPr>
        <w:t xml:space="preserve">Rationale.</w:t>
      </w:r>
      <w:r>
        <w:rPr>
          <w:sz w:val="22"/>
          <w:szCs w:val="22"/>
        </w:rPr>
        <w:t xml:space="preserve"> The two components target the two mechanistically distinct and sequentially dependent drivers of recurrence identified above: insufficient offloading of plantar pressure, and insufficient wear of the footwear providing it.</w:t>
      </w:r>
    </w:p>
    <w:p>
      <w:pPr>
        <w:spacing w:after="140" w:line="276"/>
        <w:jc w:val="both"/>
      </w:pPr>
      <w:r>
        <w:rPr>
          <w:b/>
          <w:bCs/>
          <w:sz w:val="22"/>
          <w:szCs w:val="22"/>
        </w:rPr>
        <w:t xml:space="preserve">Pressure-guided footwear optimisation.</w:t>
      </w:r>
      <w:r>
        <w:rPr>
          <w:sz w:val="22"/>
          <w:szCs w:val="22"/>
        </w:rPr>
        <w:t xml:space="preserve"> Each participant receives a new pair of custom-made foot orthoses manufactured by a certified pedorthist. Construction comprises a 5 mm total-contact ethylene-vinyl acetate layer, a 3–5 mm medial arch support, a transmetatarsal bar up to 9 mm, local depth relief at fragile or prominent regions, and a top cover of 3 mm closed-cell foam over 3 mm open-cell cushioning foam [3].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pPr>
        <w:spacing w:after="140" w:line="276"/>
        <w:jc w:val="both"/>
      </w:pPr>
      <w:r>
        <w:rPr>
          <w:sz w:val="22"/>
          <w:szCs w:val="22"/>
        </w:rPr>
        <w:t xml:space="preserve">A temperature sensor (Orthotimer, Rollerwerk Medical Engineering &amp; Consulting, Balingen, Germany) embedded in the orthosis records wear time continuously. Physical activity, including weight-bearing time and step count, is recorded using the MoveMonitor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Adherence is expressed against this personalised denominator rather than against a fixed daily hour count, since a fixed target penalises inactive participants and flatters active ones.</w:t>
      </w:r>
    </w:p>
    <w:p>
      <w:pPr>
        <w:spacing w:after="140" w:line="276"/>
        <w:jc w:val="both"/>
      </w:pPr>
      <w:r>
        <w:rPr>
          <w:b/>
          <w:bCs/>
          <w:sz w:val="22"/>
          <w:szCs w:val="22"/>
        </w:rPr>
        <w:t xml:space="preserve">Structured Education and Behavioural Intervention Approach.</w:t>
      </w:r>
      <w:r>
        <w:rPr>
          <w:sz w:val="22"/>
          <w:szCs w:val="22"/>
        </w:rPr>
        <w:t xml:space="preserve"> SEBIA is a five-step, individually tailored programme delivered face-to-face by clinical staff of the participating Diabetic Foot Clinic — podiatrists, nurses and physicians — standardised across sites through motivational interviewing training delivered by an expert psychologist. Delivery occurs within the clinic during scheduled follow-up visits.</w:t>
      </w:r>
    </w:p>
    <w:p>
      <w:pPr>
        <w:spacing w:after="140" w:line="276"/>
        <w:jc w:val="both"/>
      </w:pPr>
      <w:r>
        <w:rPr>
          <w:sz w:val="22"/>
          <w:szCs w:val="22"/>
        </w:rPr>
        <w:t xml:space="preserve">Step 1, at baseline, assesses foot-care knowledge using the Nottingham Assessment of Functional Footcare [17]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[8]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cause of any shortfall — knowledge, motivation or practical barrier. Step 5, at the final eighteen-month visit, comprises a closing foot-care demonstration and sharing of adherence results; no new intervention content is delivered.</w:t>
      </w:r>
    </w:p>
    <w:p>
      <w:pPr>
        <w:spacing w:after="140" w:line="276"/>
        <w:jc w:val="both"/>
      </w:pPr>
      <w:r>
        <w:rPr>
          <w:sz w:val="22"/>
          <w:szCs w:val="22"/>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pPr>
        <w:spacing w:after="140" w:line="276"/>
        <w:jc w:val="both"/>
      </w:pPr>
      <w:r>
        <w:rPr>
          <w:b/>
          <w:bCs/>
          <w:sz w:val="22"/>
          <w:szCs w:val="22"/>
        </w:rPr>
        <w:t xml:space="preserve">Tailoring and fidelity.</w:t>
      </w:r>
      <w:r>
        <w:rPr>
          <w:sz w:val="22"/>
          <w:szCs w:val="22"/>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pPr>
        <w:spacing w:after="140" w:line="276"/>
        <w:jc w:val="both"/>
      </w:pPr>
      <w:r>
        <w:rPr>
          <w:b/>
          <w:bCs/>
          <w:sz w:val="22"/>
          <w:szCs w:val="22"/>
        </w:rPr>
        <w:t xml:space="preserve">Feasibility of delivery.</w:t>
      </w:r>
      <w:r>
        <w:rPr>
          <w:sz w:val="22"/>
          <w:szCs w:val="22"/>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[32]; PARADISE incorporates that evidence by embedding pressure measurement within scheduled clinic visits rather than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[33], establishing that adherence is modifiable by a bundled behavioural approach, though not over an 18-month horizon or under generalist delivery. Neither study establishes that SEBIA will be delivered with fidelity in six Belgian centres. That is why fidelity is measured empirically through the process evaluation rather than assumed, and why delivery quality is reported as an outcome in its own right.</w:t>
      </w:r>
    </w:p>
    <w:p>
      <w:pPr>
        <w:spacing w:after="140" w:line="276"/>
        <w:jc w:val="both"/>
      </w:pPr>
      <w:r>
        <w:rPr>
          <w:b/>
          <w:bCs/>
          <w:sz w:val="22"/>
          <w:szCs w:val="22"/>
        </w:rPr>
        <w:t xml:space="preserve">Concomitant care.</w:t>
      </w:r>
      <w:r>
        <w:rPr>
          <w:sz w:val="22"/>
          <w:szCs w:val="22"/>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w:pPr>
        <w:pStyle w:val="Heading2"/>
        <w:spacing w:after="120" w:before="260"/>
      </w:pPr>
      <w:r>
        <w:t xml:space="preserve">Outcome measures</w:t>
      </w:r>
    </w:p>
    <w:p>
      <w:pPr>
        <w:spacing w:after="140" w:line="276"/>
        <w:jc w:val="both"/>
      </w:pPr>
      <w:r>
        <w:rPr>
          <w:sz w:val="22"/>
          <w:szCs w:val="22"/>
        </w:rPr>
        <w:t xml:space="preserve">Full operational definitions, instruments, timepoints and source case report forms are given in Table 3.</w:t>
      </w:r>
    </w:p>
    <w:p>
      <w:pPr>
        <w:spacing w:after="140" w:line="276"/>
        <w:jc w:val="both"/>
      </w:pPr>
      <w:r>
        <w:rPr>
          <w:b/>
          <w:bCs/>
          <w:sz w:val="22"/>
          <w:szCs w:val="22"/>
        </w:rPr>
        <w:t xml:space="preserve">Co-primary outcomes.</w:t>
      </w:r>
      <w:r>
        <w:rPr>
          <w:sz w:val="22"/>
          <w:szCs w:val="22"/>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[18]. Friction- or pressure-related lesions on the lateral or dorsal foot occurring within three weeks of initiating new therapeutic footwear or insoles are not counted, as these reflect transient accommodation rather than recurrence of the underlying pathology. The outcome is analysed as time to first ulcer over 18 months and reported additionally as the proportion of participants developing at least one ulcer on either foot.</w:t>
      </w:r>
    </w:p>
    <w:p>
      <w:pPr>
        <w:spacing w:after="140" w:line="276"/>
        <w:jc w:val="both"/>
      </w:pPr>
      <w:r>
        <w:rPr>
          <w:sz w:val="22"/>
          <w:szCs w:val="22"/>
        </w:rPr>
        <w:t>Footwear adherence is defined as the proportion of the individualised, activity-derived wear-time target achieved — that is, the wear time required for the participant’s own habitual weight-bearing 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MoveMonitor activity profile. It is analysed as a continuous proportion. A responder analysis dichotomised at 80%, the threshold at which adherence has been shown to modify recurrence risk [1,9], is pre-specified as a secondary analysis of the same construct. Adherence functions in the trial’s causal model both as an outcome in its own right and as the mediator through 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on the basis of the co-primary comparison alone.</w:t>
      </w:r>
    </w:p>
    <w:p>
      <w:pPr>
        <w:spacing w:after="140" w:line="276"/>
        <w:jc w:val="both"/>
      </w:pPr>
      <w:r>
        <w:rPr>
          <w:b/>
          <w:bCs/>
          <w:sz w:val="22"/>
          <w:szCs w:val="22"/>
        </w:rPr>
        <w:t xml:space="preserve">Secondary outcomes.</w:t>
      </w:r>
      <w:r>
        <w:rPr>
          <w:sz w:val="22"/>
          <w:szCs w:val="22"/>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[19]; foot self-care knowledge (Nottingham Assessment of Functional Footcare) at baseline, three, nine and fifteen months; self-reported footwear adherence on a visual analogue scale, collected in parallel with sensor data to quantify self-report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three months. Among participants who ulcerate, time to ulceration, ulcer severity graded by PEDIS and WIfI classification, and time to healing are recorded. The outcome set was mapped against the core outcome set developed for studies assessing interventions for diabetes-related foot ulceration [35]; all eight core outcomes — wound healing, time to healing, new or recurrent ulceration, infection, major amputation, minor amputation, health-related quality of life and mortality — are captured, the amputation and mortality outcomes through adverse event reporting.</w:t>
      </w:r>
    </w:p>
    <w:p>
      <w:pPr>
        <w:spacing w:after="140" w:line="276"/>
        <w:jc w:val="both"/>
      </w:pPr>
      <w:r>
        <w:rPr>
          <w:b/>
          <w:bCs/>
          <w:sz w:val="22"/>
          <w:szCs w:val="22"/>
        </w:rPr>
        <w:t xml:space="preserve">Exploratory outcome.</w:t>
      </w:r>
      <w:r>
        <w:rPr>
          <w:sz w:val="22"/>
          <w:szCs w:val="22"/>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p>
    <w:p>
      <w:pPr>
        <w:spacing w:after="140" w:line="276"/>
        <w:jc w:val="both"/>
      </w:pPr>
      <w:r>
        <w:rPr>
          <w:sz w:val="22"/>
          <w:szCs w:val="22"/>
        </w:rPr>
        <w:t xml:space="preserve">Process-evaluation outcomes comprise implementation fidelity, dose, reach, adaptations and quality of delivery; acceptability to patients and professionals; and contextual factors and mechanisms of impact.</w:t>
      </w:r>
    </w:p>
    <w:p>
      <w:pPr>
        <w:pStyle w:val="Heading2"/>
        <w:spacing w:after="120" w:before="260"/>
      </w:pPr>
      <w:r>
        <w:t xml:space="preserve">Randomisation, allocation concealment and blinding</w:t>
      </w:r>
    </w:p>
    <w:p>
      <w:pPr>
        <w:spacing w:after="140" w:line="276"/>
        <w:jc w:val="both"/>
      </w:pPr>
      <w:r>
        <w:rPr>
          <w:sz w:val="22"/>
          <w:szCs w:val="22"/>
        </w:rPr>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pPr>
        <w:spacing w:after="140" w:line="276"/>
        <w:jc w:val="both"/>
      </w:pPr>
      <w:r>
        <w:rPr>
          <w:sz w:val="22"/>
          <w:szCs w:val="22"/>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w:pPr>
        <w:spacing w:after="140" w:line="276"/>
        <w:jc w:val="both"/>
      </w:pPr>
      <w:r>
        <w:rPr>
          <w:sz w:val="22"/>
          <w:szCs w:val="22"/>
        </w:rPr>
        <w:t xml:space="preserve">Three considerations support it. Quantified in-shoe pressure does not form part of routine care in Belgian Diabetic Foot Clinics,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pPr>
        <w:spacing w:after="140" w:line="276"/>
        <w:jc w:val="both"/>
      </w:pPr>
      <w:r>
        <w:rPr>
          <w:sz w:val="22"/>
          <w:szCs w:val="22"/>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pPr>
        <w:spacing w:after="140" w:line="276"/>
        <w:jc w:val="both"/>
      </w:pPr>
      <w:r>
        <w:rPr>
          <w:b/>
          <w:bCs/>
          <w:sz w:val="22"/>
          <w:szCs w:val="22"/>
        </w:rPr>
        <w:t xml:space="preserve">Contamination.</w:t>
      </w:r>
      <w:r>
        <w:rPr>
          <w:sz w:val="22"/>
          <w:szCs w:val="22"/>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 away. Therapist diaries record, for each usual-care consultation, whether structured behavioural techniques were used; sensor data are not collected in the usual-care arm, removing the most direct contamination pathway;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pPr>
        <w:pStyle w:val="Heading2"/>
        <w:spacing w:after="120" w:before="260"/>
      </w:pPr>
      <w:r>
        <w:t xml:space="preserve">Sample size</w:t>
      </w:r>
    </w:p>
    <w:p>
      <w:pPr>
        <w:spacing w:after="140" w:line="276"/>
        <w:jc w:val="both"/>
      </w:pPr>
      <w:r>
        <w:rPr>
          <w:sz w:val="22"/>
          <w:szCs w:val="22"/>
        </w:rPr>
        <w:t xml:space="preserve">Sample size was determined independently for each co-primary outcome and the larger requirement adopted, with the final target set by balanced per-centre recruitment capacity.</w:t>
      </w:r>
    </w:p>
    <w:p>
      <w:pPr>
        <w:spacing w:after="140" w:line="276"/>
        <w:jc w:val="both"/>
      </w:pPr>
      <w:r>
        <w:rPr>
          <w:b/>
          <w:bCs/>
          <w:sz w:val="22"/>
          <w:szCs w:val="22"/>
        </w:rPr>
        <w:t xml:space="preserve">Ulcer recurrence.</w:t>
      </w:r>
      <w:r>
        <w:rPr>
          <w:sz w:val="22"/>
          <w:szCs w:val="22"/>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[5,8], we report power across attenuated effect scenarios below rather than relying on the primary assumption alone.</w:t>
      </w:r>
    </w:p>
    <w:p>
      <w:pPr>
        <w:spacing w:after="140" w:line="276"/>
        <w:jc w:val="both"/>
      </w:pPr>
      <w:r>
        <w:rPr>
          <w:sz w:val="22"/>
          <w:szCs w:val="22"/>
        </w:rPr>
        <w:t xml:space="preserve">Under these assumptions, a two-sided log-rank test at α = 0.05 with 80% power requires approximately 41 recurrence events, corresponding to 108 participants; allowing 15% attrition gives 127 participants, and the protocol specifies 130 to accommodate stratification by centre.</w:t>
      </w:r>
    </w:p>
    <w:p>
      <w:pPr>
        <w:spacing w:after="140" w:line="276"/>
        <w:jc w:val="both"/>
      </w:pPr>
      <w:r>
        <w:rPr>
          <w:b/>
          <w:bCs/>
          <w:sz w:val="22"/>
          <w:szCs w:val="22"/>
        </w:rPr>
        <w:t xml:space="preserve">Footwear adherence.</w:t>
      </w:r>
      <w:r>
        <w:rPr>
          <w:sz w:val="22"/>
          <w:szCs w:val="22"/>
        </w:rPr>
        <w:t xml:space="preserve"> Mean adherence under usual care is taken as 71% with standard deviation 25%, the values obtained by objective sensor measurement in an equivalent high-risk population [8]. Anticipating an increase to 85% under PARADISE — comparable in magnitude to the improvement observed when adherence was actively targeted in prior work [20] — gives a standardised effect of 0.56. A two-sided t-test at α = 0.05 with 80% power requires 50 participants per group; allowing 15% attrition gives 118 participants.</w:t>
      </w:r>
    </w:p>
    <w:p>
      <w:pPr>
        <w:spacing w:after="140" w:line="276"/>
        <w:jc w:val="both"/>
      </w:pPr>
      <w:r>
        <w:rPr>
          <w:b/>
          <w:bCs/>
          <w:sz w:val="22"/>
          <w:szCs w:val="22"/>
        </w:rPr>
        <w:t xml:space="preserve">Final target and achieved power.</w:t>
      </w:r>
      <w:r>
        <w:rPr>
          <w:sz w:val="22"/>
          <w:szCs w:val="22"/>
        </w:rPr>
        <w:t xml:space="preserve">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trial is therefore adequately powered for the hypothesised effect but would not reliably detect a benefit half the anticipated size, and results will be interpreted with confidence intervals rather than significance thresholds alone.</w:t>
      </w:r>
    </w:p>
    <w:p>
      <w:pPr>
        <w:spacing w:after="140" w:line="276"/>
        <w:jc w:val="both"/>
      </w:pPr>
      <w:r>
        <w:rPr>
          <w:sz w:val="22"/>
          <w:szCs w:val="22"/>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w:pPr>
        <w:pStyle w:val="Heading2"/>
        <w:spacing w:after="120" w:before="260"/>
      </w:pPr>
      <w:r>
        <w:t xml:space="preserve">Data collection and participant timeline</w:t>
      </w:r>
    </w:p>
    <w:p>
      <w:pPr>
        <w:spacing w:after="140" w:line="276"/>
        <w:jc w:val="both"/>
      </w:pPr>
      <w:r>
        <w:rPr>
          <w:sz w:val="22"/>
          <w:szCs w:val="22"/>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w:pPr>
        <w:spacing w:after="140" w:line="276"/>
        <w:jc w:val="both"/>
      </w:pPr>
      <w:r>
        <w:rPr>
          <w:sz w:val="22"/>
          <w:szCs w:val="22"/>
        </w:rPr>
        <w:t>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concept [25],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[36],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pPr>
        <w:spacing w:after="140" w:line="276"/>
        <w:jc w:val="both"/>
      </w:pPr>
      <w:r>
        <w:rPr>
          <w:b/>
          <w:bCs/>
          <w:sz w:val="22"/>
          <w:szCs w:val="22"/>
        </w:rPr>
        <w:t xml:space="preserve">Retention.</w:t>
      </w:r>
      <w:r>
        <w:rPr>
          <w:sz w:val="22"/>
          <w:szCs w:val="22"/>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pPr>
        <w:pStyle w:val="Heading2"/>
        <w:spacing w:after="120" w:before="260"/>
      </w:pPr>
      <w:r>
        <w:t xml:space="preserve">Data management</w:t>
      </w:r>
    </w:p>
    <w:p>
      <w:pPr>
        <w:spacing w:after="140" w:line="276"/>
        <w:jc w:val="both"/>
      </w:pPr>
      <w:r>
        <w:rPr>
          <w:sz w:val="22"/>
          <w:szCs w:val="22"/>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Source documents, completed case report forms and the trial and investigator site master files are archived for at least ten years after the end of the investigation, in accordance with ISO 14155:2020.</w:t>
      </w:r>
    </w:p>
    <w:p>
      <w:pPr>
        <w:pStyle w:val="Heading2"/>
        <w:spacing w:after="120" w:before="260"/>
      </w:pPr>
      <w:r>
        <w:t xml:space="preserve">Monitoring</w:t>
      </w:r>
    </w:p>
    <w:p>
      <w:pPr>
        <w:spacing w:after="140" w:line="276"/>
        <w:jc w:val="both"/>
      </w:pPr>
      <w:r>
        <w:rPr>
          <w:sz w:val="22"/>
          <w:szCs w:val="22"/>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w:pPr>
        <w:spacing w:after="140" w:line="276"/>
        <w:jc w:val="both"/>
      </w:pPr>
      <w:r>
        <w:rPr>
          <w:sz w:val="22"/>
          <w:szCs w:val="22"/>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p>
    <w:p>
      <w:pPr>
        <w:pStyle w:val="Heading2"/>
        <w:spacing w:after="120" w:before="260"/>
      </w:pPr>
      <w:r>
        <w:t xml:space="preserve">Adverse events</w:t>
      </w:r>
    </w:p>
    <w:p>
      <w:pPr>
        <w:spacing w:after="140" w:line="276"/>
        <w:jc w:val="both"/>
      </w:pPr>
      <w:r>
        <w:rPr>
          <w:sz w:val="22"/>
          <w:szCs w:val="22"/>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w:pPr>
        <w:pStyle w:val="Heading2"/>
        <w:spacing w:after="120" w:before="260"/>
      </w:pPr>
      <w:r>
        <w:t xml:space="preserve">Statistical analysis</w:t>
      </w:r>
    </w:p>
    <w:p>
      <w:pPr>
        <w:spacing w:after="140" w:line="276"/>
        <w:jc w:val="both"/>
      </w:pPr>
      <w:r>
        <w:rPr>
          <w:sz w:val="22"/>
          <w:szCs w:val="22"/>
        </w:rPr>
        <w:t xml:space="preserve">Analyses follow ICH E9 and are specified in full in a statistical analysis plan finalised and version-controlled before database lock; the clinical study report follows ICH E3 and E8.</w:t>
      </w:r>
    </w:p>
    <w:p>
      <w:pPr>
        <w:spacing w:after="140" w:line="276"/>
        <w:jc w:val="both"/>
      </w:pPr>
      <w:r>
        <w:rPr>
          <w:b/>
          <w:bCs/>
          <w:sz w:val="22"/>
          <w:szCs w:val="22"/>
        </w:rPr>
        <w:t xml:space="preserve">Analysis populations.</w:t>
      </w:r>
      <w:r>
        <w:rPr>
          <w:sz w:val="22"/>
          <w:szCs w:val="22"/>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w:pPr>
        <w:spacing w:after="140" w:line="276"/>
        <w:jc w:val="both"/>
      </w:pPr>
      <w:r>
        <w:rPr>
          <w:b/>
          <w:bCs/>
          <w:sz w:val="22"/>
          <w:szCs w:val="22"/>
        </w:rPr>
        <w:t xml:space="preserve">Co-primary endpoints and multiplicity.</w:t>
      </w:r>
      <w:r>
        <w:rPr>
          <w:sz w:val="22"/>
          <w:szCs w:val="22"/>
        </w:rPr>
        <w:t xml:space="preserve"> The trial is declared positive only if both co-primary endpoints reach statistical significance at two-sided α = 0.05. Because success requires both, the family-wise Type I error rate does not exceed 0.05 and no multiplicity adjustment is applied. Statistical significance on one endpoint alone will not be interpreted as a positive trial and will be reported as such.</w:t>
      </w:r>
    </w:p>
    <w:p>
      <w:pPr>
        <w:spacing w:after="140" w:line="276"/>
        <w:jc w:val="both"/>
      </w:pPr>
      <w:r>
        <w:rPr>
          <w:b/>
          <w:bCs/>
          <w:sz w:val="22"/>
          <w:szCs w:val="22"/>
        </w:rPr>
        <w:t xml:space="preserve">Ulcer recurrence.</w:t>
      </w:r>
      <w:r>
        <w:rPr>
          <w:sz w:val="22"/>
          <w:szCs w:val="22"/>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size assumed exponentially distributed event times, a parametric Weibull model is fitted as a sensitivity analysis to quantify departure from constant hazard.</w:t>
      </w:r>
    </w:p>
    <w:p>
      <w:pPr>
        <w:spacing w:after="140" w:line="276"/>
        <w:jc w:val="both"/>
      </w:pPr>
      <w:r>
        <w:rPr>
          <w:b/>
          <w:bCs/>
          <w:sz w:val="22"/>
          <w:szCs w:val="22"/>
        </w:rPr>
        <w:t xml:space="preserve">Footwear adherence.</w:t>
      </w:r>
      <w:r>
        <w:rPr>
          <w:sz w:val="22"/>
          <w:szCs w:val="22"/>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distribution-free comparison. Longitudinal adherence trajectories are modelled using linear mixed-effects models with random intercepts for participant nested within centre, allowing evaluation of whether any between-arm difference is sustained or attenuates after intervention contacts cease.</w:t>
      </w:r>
    </w:p>
    <w:p>
      <w:pPr>
        <w:spacing w:after="140" w:line="276"/>
        <w:jc w:val="both"/>
      </w:pPr>
      <w:r>
        <w:rPr>
          <w:b/>
          <w:bCs/>
          <w:sz w:val="22"/>
          <w:szCs w:val="22"/>
        </w:rPr>
        <w:t xml:space="preserve">Missing data.</w:t>
      </w:r>
      <w:r>
        <w:rPr>
          <w:sz w:val="22"/>
          <w:szCs w:val="22"/>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analysis under departures from missing-at-random assesses how extreme a missing-not-at-random mechanism would need to be to overturn the primary conclusion.</w:t>
      </w:r>
    </w:p>
    <w:p>
      <w:pPr>
        <w:spacing w:after="140" w:line="276"/>
        <w:jc w:val="both"/>
      </w:pPr>
      <w:r>
        <w:rPr>
          <w:b/>
          <w:bCs/>
          <w:sz w:val="22"/>
          <w:szCs w:val="22"/>
        </w:rPr>
        <w:t xml:space="preserve">Secondary and additional analyses.</w:t>
      </w:r>
      <w:r>
        <w:rPr>
          <w:sz w:val="22"/>
          <w:szCs w:val="22"/>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pPr>
        <w:spacing w:after="140" w:line="276"/>
        <w:jc w:val="both"/>
      </w:pPr>
      <w:r>
        <w:rPr>
          <w:sz w:val="22"/>
          <w:szCs w:val="22"/>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pPr>
        <w:spacing w:after="140" w:line="276"/>
        <w:jc w:val="both"/>
      </w:pPr>
      <w:r>
        <w:rPr>
          <w:sz w:val="22"/>
          <w:szCs w:val="22"/>
        </w:rPr>
        <w:t xml:space="preserve">Agreement between sensor-measured and self-reported adherence is quantified by Bland–Altman analysis, providing a direct estimate of self-report bias in this population.</w:t>
      </w:r>
    </w:p>
    <w:p>
      <w:pPr>
        <w:pStyle w:val="Heading2"/>
        <w:spacing w:after="120" w:before="260"/>
      </w:pPr>
      <w:r>
        <w:t xml:space="preserve">Health economics</w:t>
      </w:r>
    </w:p>
    <w:p>
      <w:pPr>
        <w:spacing w:after="140" w:line="276"/>
        <w:jc w:val="both"/>
      </w:pPr>
      <w:r>
        <w:rPr>
          <w:sz w:val="22"/>
          <w:szCs w:val="22"/>
        </w:rPr>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cost-effective, rising to €−5317 and 0.94 in the subgroup adherent to wearing the footwear [27]. Intervention costs of €492 per participant were more than offset by lower ulcer treatment costs. That analysis reproduces in the economic domain the adherence-conditionality observed clinically, and it identified four limitations that define what a subsequent evaluation should do: adopt a societal perspective, incorporate quality-adjusted life years, collect ulcer treatment costs prospectively rather than importing them from reference data, and extend beyond 18 months using a Markov model [27]. The PARADISE economic evaluation is constructed to address each.</w:t>
      </w:r>
    </w:p>
    <w:p>
      <w:pPr>
        <w:spacing w:after="140" w:line="276"/>
        <w:jc w:val="both"/>
      </w:pPr>
      <w:r>
        <w:rPr>
          <w:sz w:val="22"/>
          <w:szCs w:val="22"/>
        </w:rPr>
        <w:t xml:space="preserve">The evaluation assesses cost-effectiveness and cost-utility over the 18-month trial horizon from a healthcare payer perspective, with a societal perspective in sensitivity analysis, and is reported in accordance with the CHEERS statement [34]. Quality-adjusted life years are derived from EQ-5D-5L responses valued using the value set specified by current Belgian health-technology-assessment guidance; where no national value set applies, the value set recommended by that guidance is used and stated explicitly. The incremental cost-utility ratio is the primary economic endpoint. Resource use is collected prospectively by patient diary and by the iMTA Medical Consumption and Productivity Cost Questionnaires, supplemented by medical-record extraction, and valued using standard reference prices [21]. Ulcer treatment costs are therefore observed rather than imputed; the Eurodiale estimates, which remain the reference standard for stage-specific European ulcer treatment costs [29], are retained only for sensitivity analysis and for health states not observed within the trial. Costs and effects beyond twelve months are discounted at rates specified in Belgian health-technology-assessment guidance. Deterministic and probabilistic sensitivity analyses, the latter by Monte Carlo simulation with 10,000 iterations, quantify parameter uncertainty; results are presented as cost-effectiveness planes and acceptability curves.</w:t>
      </w:r>
    </w:p>
    <w:p>
      <w:pPr>
        <w:spacing w:after="140" w:line="276"/>
        <w:jc w:val="both"/>
      </w:pPr>
      <w:r>
        <w:rPr>
          <w:sz w:val="22"/>
          <w:szCs w:val="22"/>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sensitivity analysis. Prior modelling provides the comparators against which the resulting estimates will be interpreted: guideline-concordant prevention was cost-saving at €−904 per participant over five years assuming adherence [30], and cost-effective over a lifetime horizon at under $25,000 per QALY gained [31]. A trial-based evaluation of at-home temperature monitoring in the same population and over the same 18-month horizon reported an ICER of €−11,580 per ulcer prevented with a 79% probability of cost-effectiveness [28], and provides the closest methodological precedent for the within-trial analysis reported here.</w:t>
      </w:r>
    </w:p>
    <w:p>
      <w:pPr>
        <w:pStyle w:val="Heading2"/>
        <w:spacing w:after="120" w:before="260"/>
      </w:pPr>
      <w:r>
        <w:t xml:space="preserve">Process evaluation</w:t>
      </w:r>
    </w:p>
    <w:p>
      <w:pPr>
        <w:spacing w:after="140" w:line="276"/>
        <w:jc w:val="both"/>
      </w:pPr>
      <w:r>
        <w:rPr>
          <w:sz w:val="22"/>
          <w:szCs w:val="22"/>
        </w:rPr>
        <w:t xml:space="preserve">The process evaluation follows Medical Research Council guidance for complex interventions [22]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pPr>
        <w:spacing w:after="140" w:line="276"/>
        <w:jc w:val="both"/>
      </w:pPr>
      <w:r>
        <w:rPr>
          <w:sz w:val="22"/>
          <w:szCs w:val="22"/>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pPr>
        <w:spacing w:after="140" w:line="276"/>
        <w:jc w:val="both"/>
      </w:pPr>
      <w:r>
        <w:rPr>
          <w:sz w:val="22"/>
          <w:szCs w:val="22"/>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w:pPr>
        <w:pStyle w:val="Heading1"/>
        <w:spacing w:after="160" w:before="320"/>
      </w:pPr>
      <w:r>
        <w:t xml:space="preserve">Ethics</w:t>
      </w:r>
    </w:p>
    <w:p>
      <w:pPr>
        <w:spacing w:after="140" w:line="276"/>
        <w:jc w:val="both"/>
      </w:pPr>
      <w:r>
        <w:rPr>
          <w:sz w:val="22"/>
          <w:szCs w:val="22"/>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w:pPr>
        <w:spacing w:after="140" w:line="276"/>
        <w:jc w:val="both"/>
      </w:pPr>
      <w:r>
        <w:rPr>
          <w:sz w:val="22"/>
          <w:szCs w:val="22"/>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pPr>
        <w:spacing w:after="140" w:line="276"/>
        <w:jc w:val="both"/>
      </w:pPr>
      <w:r>
        <w:rPr>
          <w:sz w:val="22"/>
          <w:szCs w:val="22"/>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pPr>
        <w:spacing w:after="140" w:line="276"/>
        <w:jc w:val="both"/>
      </w:pPr>
      <w:r>
        <w:rPr>
          <w:sz w:val="22"/>
          <w:szCs w:val="22"/>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frequently as routine practice requires. Participant burden is modest and consists principally of additional assessment time at existing visits.</w:t>
      </w:r>
    </w:p>
    <w:p>
      <w:pPr>
        <w:spacing w:after="140" w:line="276"/>
        <w:jc w:val="both"/>
      </w:pPr>
      <w:r>
        <w:rPr>
          <w:sz w:val="22"/>
          <w:szCs w:val="22"/>
        </w:rPr>
        <w:t xml:space="preserve">Pregnancy-related procedures are not specified, reflecting the age profile of this population; the eligibility criteria do not exclude women of childbearing potential, and no intervention component carries a plausible reproductive hazard.</w:t>
      </w:r>
    </w:p>
    <w:p>
      <w:pPr>
        <w:pStyle w:val="Heading1"/>
        <w:spacing w:after="160" w:before="320"/>
      </w:pPr>
      <w:r>
        <w:t xml:space="preserve">Patient and public involvement</w:t>
      </w:r>
    </w:p>
    <w:p>
      <w:pPr>
        <w:spacing w:after="140" w:line="276"/>
        <w:jc w:val="both"/>
      </w:pPr>
      <w:r>
        <w:rPr>
          <w:sz w:val="22"/>
          <w:szCs w:val="22"/>
        </w:rPr>
        <w:t xml:space="preserve">▮ The intervention was refined through prior pilot implementation in Belgian Diabetic Foot Clinics,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[13]. Participants will receive a plain-language summary of the trial results irrespective of findings.</w:t>
      </w:r>
    </w:p>
    <w:p>
      <w:pPr>
        <w:pStyle w:val="Heading1"/>
        <w:spacing w:after="160" w:before="320"/>
      </w:pPr>
      <w:r>
        <w:t xml:space="preserve">Dissemination</w:t>
      </w:r>
    </w:p>
    <w:p>
      <w:pPr>
        <w:spacing w:after="140" w:line="276"/>
        <w:jc w:val="both"/>
      </w:pPr>
      <w:r>
        <w:rPr>
          <w:sz w:val="22"/>
          <w:szCs w:val="22"/>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will be distributed to participants and to Belgian patient organisations, and findings will be presented to the RIZIV–INAMI diabetic foot clinic network irrespective of outcome. The statistical analysis plan will be published or deposited before database lock. Data collected under the clinical investigation plan are the property of the sponsor unless otherwise agreed in site-specific investigation agreements.</w:t>
      </w:r>
    </w:p>
    <w:p>
      <w:pPr>
        <w:pStyle w:val="Heading1"/>
        <w:spacing w:after="160" w:before="320"/>
      </w:pPr>
      <w:r>
        <w:t xml:space="preserve">Trial status</w:t>
      </w:r>
    </w:p>
    <w:p>
      <w:pPr>
        <w:spacing w:after="140" w:line="276"/>
        <w:jc w:val="both"/>
      </w:pPr>
      <w:r>
        <w:rPr>
          <w:sz w:val="22"/>
          <w:szCs w:val="22"/>
        </w:rPr>
        <w:t xml:space="preserve">Recruitment has not commenced. The investigation will not begin until ethics committee and competent authority approvals have been obtained; this manuscript accompanies that submission. Protocol version ▮, dated ▮. Anticipated recruitment start ▮.</w:t>
      </w:r>
    </w:p>
    <w:p>
      <w:pPr>
        <w:pStyle w:val="Heading1"/>
        <w:spacing w:after="160" w:before="320"/>
      </w:pPr>
      <w:r>
        <w:t xml:space="preserve">Discussion</w:t>
      </w:r>
    </w:p>
    <w:p>
      <w:pPr>
        <w:spacing w:after="140" w:line="276"/>
        <w:jc w:val="both"/>
      </w:pPr>
      <w:r>
        <w:rPr>
          <w:sz w:val="22"/>
          <w:szCs w:val="22"/>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[10] but implemented with only moderate success where it has been tried [10]. Continuous digital pressure feedback reduced recurrence in a proof-of-concept trial, again principally among adherent users [23]. The premise of this trial is that these are not three independent disappointments but one: each component addresses a necessary condition for prevention and none addresses a sufficient one. The prospective finding that failing to achieve both adequate offloading and adequate wear independently predicts recurrence [1,9] is the direct empirical warrant for combining them.</w:t>
      </w:r>
    </w:p>
    <w:p>
      <w:pPr>
        <w:spacing w:after="140" w:line="276"/>
        <w:jc w:val="both"/>
      </w:pPr>
      <w:r>
        <w:rPr>
          <w:sz w:val="22"/>
          <w:szCs w:val="22"/>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that the existing literature has already answered unfavourably for each component in isolation.</w:t>
      </w:r>
    </w:p>
    <w:p>
      <w:pPr>
        <w:pStyle w:val="Heading2"/>
        <w:spacing w:after="120" w:before="260"/>
      </w:pPr>
      <w:r>
        <w:t xml:space="preserve">Strengths</w:t>
      </w:r>
    </w:p>
    <w:p>
      <w:pPr>
        <w:spacing w:after="140" w:line="276"/>
        <w:jc w:val="both"/>
      </w:pPr>
      <w:r>
        <w:rPr>
          <w:sz w:val="22"/>
          <w:szCs w:val="22"/>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p>
    <w:p>
      <w:pPr>
        <w:spacing w:after="140" w:line="276"/>
        <w:jc w:val="both"/>
      </w:pPr>
      <w:r>
        <w:rPr>
          <w:sz w:val="22"/>
          <w:szCs w:val="22"/>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[25], and the strongest evidence linking it to future ulceration remains observational and twelve months long [26]. PARADISE records its three constituents concurrently,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w:pPr>
        <w:pStyle w:val="Heading2"/>
        <w:spacing w:after="120" w:before="260"/>
      </w:pPr>
      <w:r>
        <w:t xml:space="preserve">Limitations</w:t>
      </w:r>
    </w:p>
    <w:p>
      <w:pPr>
        <w:spacing w:after="140" w:line="276"/>
        <w:jc w:val="both"/>
      </w:pPr>
      <w:r>
        <w:rPr>
          <w:sz w:val="22"/>
          <w:szCs w:val="22"/>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in particular is a behaviour that awareness of measurement may itself alter in both arms.</w:t>
      </w:r>
    </w:p>
    <w:p>
      <w:pPr>
        <w:spacing w:after="140" w:line="276"/>
        <w:jc w:val="both"/>
      </w:pPr>
      <w:r>
        <w:rPr>
          <w:sz w:val="22"/>
          <w:szCs w:val="22"/>
        </w:rPr>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pPr>
        <w:spacing w:after="140" w:line="276"/>
        <w:jc w:val="both"/>
      </w:pPr>
      <w:r>
        <w:rPr>
          <w:sz w:val="22"/>
          <w:szCs w:val="22"/>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null result will require careful joint interpretation with the adherence outcome and the process evaluation before it is read as evidence of no effect.</w:t>
      </w:r>
    </w:p>
    <w:p>
      <w:pPr>
        <w:spacing w:after="140" w:line="276"/>
        <w:jc w:val="both"/>
      </w:pPr>
      <w:r>
        <w:rPr>
          <w:sz w:val="22"/>
          <w:szCs w:val="22"/>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pPr>
        <w:spacing w:after="140" w:line="276"/>
        <w:jc w:val="both"/>
      </w:pPr>
      <w:r>
        <w:rPr>
          <w:sz w:val="22"/>
          <w:szCs w:val="22"/>
        </w:rPr>
        <w:t xml:space="preserve">Follow-up ends at 18 months. Recurrence risk continues to accumulate well beyond that horizon — reaching approximately 60% at three years and 65% at five [1]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pPr>
        <w:spacing w:after="140" w:line="276"/>
        <w:jc w:val="both"/>
      </w:pPr>
      <w:r>
        <w:rPr>
          <w:sz w:val="22"/>
          <w:szCs w:val="22"/>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pPr>
        <w:pStyle w:val="Heading2"/>
        <w:spacing w:after="120" w:before="260"/>
      </w:pPr>
      <w:r>
        <w:t xml:space="preserve">Conclusion</w:t>
      </w:r>
    </w:p>
    <w:p>
      <w:pPr>
        <w:spacing w:after="140" w:line="276"/>
        <w:jc w:val="both"/>
      </w:pPr>
      <w:r>
        <w:rPr>
          <w:sz w:val="22"/>
          <w:szCs w:val="22"/>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actually happens, succeeds where their separation has not. Whatever the result, the trial is designed to explain it.</w:t>
      </w:r>
    </w:p>
    <w:p>
      <w:pPr>
        <w:pStyle w:val="Heading1"/>
        <w:spacing w:after="160" w:before="320"/>
      </w:pPr>
      <w:r>
        <w:t xml:space="preserve">Abbreviations</w:t>
      </w:r>
    </w:p>
    <w:p>
      <w:pPr>
        <w:spacing w:after="140" w:line="276"/>
        <w:jc w:val="both"/>
      </w:pPr>
      <w:r>
        <w:rPr>
          <w:sz w:val="22"/>
          <w:szCs w:val="22"/>
        </w:rPr>
        <w:t xml:space="preserve">ADA, American Diabetes Association; AE, adverse event;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PRECIS-2, Pragmatic-Explanatory Continuum Indicator Summary 2; PPI, patient and public involvement;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pPr>
        <w:pStyle w:val="Heading1"/>
        <w:spacing w:after="160" w:before="320"/>
      </w:pPr>
      <w:r>
        <w:t xml:space="preserve">Declarations</w:t>
      </w:r>
    </w:p>
    <w:p>
      <w:pPr>
        <w:spacing w:after="140" w:line="276"/>
        <w:jc w:val="both"/>
      </w:pPr>
      <w:r>
        <w:rPr>
          <w:b/>
          <w:bCs/>
          <w:sz w:val="22"/>
          <w:szCs w:val="22"/>
        </w:rPr>
        <w:t xml:space="preserve">Ethics approval and consent to participate.</w:t>
      </w:r>
      <w:r>
        <w:rPr>
          <w:sz w:val="22"/>
          <w:szCs w:val="22"/>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as Additional file 5.</w:t>
      </w:r>
    </w:p>
    <w:p>
      <w:pPr>
        <w:spacing w:after="140" w:line="276"/>
        <w:jc w:val="both"/>
      </w:pPr>
      <w:r>
        <w:rPr>
          <w:b/>
          <w:bCs/>
          <w:sz w:val="22"/>
          <w:szCs w:val="22"/>
        </w:rPr>
        <w:t xml:space="preserve">Consent for publication.</w:t>
      </w:r>
      <w:r>
        <w:rPr>
          <w:sz w:val="22"/>
          <w:szCs w:val="22"/>
        </w:rPr>
        <w:t xml:space="preserve"> Not applicable; no identifying participant data are reported.</w:t>
      </w:r>
    </w:p>
    <w:p>
      <w:pPr>
        <w:spacing w:after="140" w:line="276"/>
        <w:jc w:val="both"/>
      </w:pPr>
      <w:r>
        <w:rPr>
          <w:b/>
          <w:bCs/>
          <w:sz w:val="22"/>
          <w:szCs w:val="22"/>
        </w:rPr>
        <w:t xml:space="preserve">Availability of data and materials.</w:t>
      </w:r>
      <w:r>
        <w:rPr>
          <w:sz w:val="22"/>
          <w:szCs w:val="22"/>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w:pPr>
        <w:spacing w:after="140" w:line="276"/>
        <w:jc w:val="both"/>
      </w:pPr>
      <w:r>
        <w:rPr>
          <w:sz w:val="22"/>
          <w:szCs w:val="22"/>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[25]; releasing this dataset as a reusable resource, including the intervals where measurement failed, allows the field to pool across cohorts rather than repeat small studies independently. Data are curated to FAIR principles.</w:t>
      </w:r>
    </w:p>
    <w:p>
      <w:pPr>
        <w:spacing w:after="140" w:line="276"/>
        <w:jc w:val="both"/>
      </w:pPr>
      <w:r>
        <w:rPr>
          <w:b/>
          <w:bCs/>
          <w:sz w:val="22"/>
          <w:szCs w:val="22"/>
        </w:rPr>
        <w:t xml:space="preserve">Competing interests.</w:t>
      </w:r>
      <w:r>
        <w:rPr>
          <w:sz w:val="22"/>
          <w:szCs w:val="22"/>
        </w:rPr>
        <w:t xml:space="preserve"> ▮</w:t>
      </w:r>
    </w:p>
    <w:p>
      <w:pPr>
        <w:spacing w:after="140" w:line="276"/>
        <w:jc w:val="both"/>
      </w:pPr>
      <w:r>
        <w:rPr>
          <w:b/>
          <w:bCs/>
          <w:sz w:val="22"/>
          <w:szCs w:val="22"/>
        </w:rPr>
        <w:t xml:space="preserve">Funding.</w:t>
      </w:r>
      <w:r>
        <w:rPr>
          <w:sz w:val="22"/>
          <w:szCs w:val="22"/>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w:pPr>
        <w:spacing w:after="140" w:line="276"/>
        <w:jc w:val="both"/>
      </w:pPr>
      <w:r>
        <w:rPr>
          <w:b/>
          <w:bCs/>
          <w:sz w:val="22"/>
          <w:szCs w:val="22"/>
        </w:rPr>
        <w:t xml:space="preserve">Authors' contributions.</w:t>
      </w:r>
      <w:r>
        <w:rPr>
          <w:sz w:val="22"/>
          <w:szCs w:val="22"/>
        </w:rPr>
        <w:t xml:space="preserve"> ▮</w:t>
      </w:r>
    </w:p>
    <w:p>
      <w:pPr>
        <w:spacing w:after="140" w:line="276"/>
        <w:jc w:val="both"/>
      </w:pPr>
      <w:r>
        <w:rPr>
          <w:b/>
          <w:bCs/>
          <w:sz w:val="22"/>
          <w:szCs w:val="22"/>
        </w:rPr>
        <w:t xml:space="preserve">Acknowledgements.</w:t>
      </w:r>
      <w:r>
        <w:rPr>
          <w:sz w:val="22"/>
          <w:szCs w:val="22"/>
        </w:rPr>
        <w:t xml:space="preserve"> ▮</w:t>
      </w:r>
    </w:p>
    <w:p>
      <w:pPr>
        <w:pStyle w:val="Heading1"/>
        <w:spacing w:after="160" w:before="320"/>
      </w:pPr>
      <w:r>
        <w:t xml:space="preserve">References</w:t>
      </w:r>
    </w:p>
    <w:p>
      <w:pPr>
        <w:spacing w:after="100"/>
        <w:ind w:left="454" w:hanging="454"/>
        <w:jc w:val="left"/>
      </w:pPr>
      <w:r>
        <w:rPr>
          <w:sz w:val="20"/>
          <w:szCs w:val="20"/>
        </w:rPr>
        <w:t xml:space="preserve">1. Armstrong DG, Boulton AJM, Bus SA. Diabetic foot ulcers and their recurrence. N Engl J Med. 2017;376(24):2367–2375. doi:10.1056/NEJMra1615439</w:t>
      </w:r>
    </w:p>
    <w:p>
      <w:pPr>
        <w:spacing w:after="100"/>
        <w:ind w:left="454" w:hanging="454"/>
        <w:jc w:val="left"/>
      </w:pPr>
      <w:r>
        <w:rPr>
          <w:sz w:val="20"/>
          <w:szCs w:val="20"/>
        </w:rPr>
        <w:t xml:space="preserve">2. Bus SA, van Netten JJ. A shift in priority in diabetic foot care and research: 75% of foot ulcers are preventable. Diabetes Metab Res Rev. 2016;32(Suppl 1):195–200.</w:t>
      </w:r>
    </w:p>
    <w:p>
      <w:pPr>
        <w:spacing w:after="100"/>
        <w:ind w:left="454" w:hanging="454"/>
        <w:jc w:val="left"/>
      </w:pPr>
      <w:r>
        <w:rPr>
          <w:sz w:val="20"/>
          <w:szCs w:val="20"/>
        </w:rPr>
        <w:t xml:space="preserve">3. Bus SA, Zwaferink JB, Dahmen R, Busch-Westbroek T. State of the art design protocol for custom made footwear for people with diabetes and peripheral neuropathy. Diabetes Metab Res Rev. 2020;36(S1):e3237. doi:10.1002/dmrr.3237</w:t>
      </w:r>
    </w:p>
    <w:p>
      <w:pPr>
        <w:spacing w:after="100"/>
        <w:ind w:left="454" w:hanging="454"/>
        <w:jc w:val="left"/>
      </w:pPr>
      <w:r>
        <w:rPr>
          <w:sz w:val="20"/>
          <w:szCs w:val="20"/>
        </w:rPr>
        <w:t xml:space="preserve">4. Bus SA, Sacco ICN, Monteiro-Soares M, Raspovic A, Paton J, Rasmussen A, et al. Guidelines on the prevention of foot ulcers in persons with diabetes (IWGDF 2023 update). Diabetes Metab Res Rev. 2024;40(3):e3651. doi:10.1002/dmrr.3651</w:t>
      </w:r>
    </w:p>
    <w:p>
      <w:pPr>
        <w:spacing w:after="100"/>
        <w:ind w:left="454" w:hanging="454"/>
        <w:jc w:val="left"/>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
    <w:p>
      <w:pPr>
        <w:spacing w:after="100"/>
        <w:ind w:left="454" w:hanging="454"/>
        <w:jc w:val="left"/>
      </w:pPr>
      <w:r>
        <w:rPr>
          <w:sz w:val="20"/>
          <w:szCs w:val="20"/>
        </w:rPr>
        <w:t xml:space="preserve">6. van Netten JJ, Price PE, Lavery LA, Monteiro-Soares M, Rasmussen A, Jubiz Y, et al. Prevention of foot ulcers in the at-risk patient with diabetes: a systematic review. Diabetes Metab Res Rev. 2016;32(Suppl 1):84–98.</w:t>
      </w:r>
    </w:p>
    <w:p>
      <w:pPr>
        <w:spacing w:after="100"/>
        <w:ind w:left="454" w:hanging="454"/>
        <w:jc w:val="left"/>
      </w:pPr>
      <w:r>
        <w:rPr>
          <w:sz w:val="20"/>
          <w:szCs w:val="20"/>
        </w:rPr>
        <w:t xml:space="preserve">7. Lincoln NB, Radford KA, Game FL, Jeffcoate WJ. Education for secondary prevention of foot ulcers in people with diabetes: a randomised controlled trial. Diabetologia. 2008;51(11):1954–1961.</w:t>
      </w:r>
    </w:p>
    <w:p>
      <w:pPr>
        <w:spacing w:after="100"/>
        <w:ind w:left="454" w:hanging="454"/>
        <w:jc w:val="left"/>
      </w:pPr>
      <w:r>
        <w:rPr>
          <w:sz w:val="20"/>
          <w:szCs w:val="20"/>
        </w:rPr>
        <w:t xml:space="preserve">8. Waaijman R, Keukenkamp R, de Haart M, Polomski WP, Nollet F, Bus SA. Adherence to wearing prescription custom-made footwear in patients with diabetes at high risk for plantar foot ulceration. Diabetes Care. 2013;36(6):1613–1618. doi:10.2337/dc12-1330</w:t>
      </w:r>
    </w:p>
    <w:p>
      <w:pPr>
        <w:spacing w:after="100"/>
        <w:ind w:left="454" w:hanging="454"/>
        <w:jc w:val="left"/>
      </w:pPr>
      <w:r>
        <w:rPr>
          <w:sz w:val="20"/>
          <w:szCs w:val="20"/>
        </w:rPr>
        <w:t xml:space="preserve">9. Waaijman R, de Haart M, Arts MLJ, Wever D, Verlouw AJWE, Nollet F, et al. Risk factors for plantar foot ulcer recurrence in neuropathic diabetic patients. Diabetes Care. 2014;37(6):1697–1705.</w:t>
      </w:r>
    </w:p>
    <w:p>
      <w:pPr>
        <w:spacing w:after="100"/>
        <w:ind w:left="454" w:hanging="454"/>
        <w:jc w:val="left"/>
      </w:pPr>
      <w:r>
        <w:rPr>
          <w:sz w:val="20"/>
          <w:szCs w:val="20"/>
        </w:rPr>
        <w:t xml:space="preserve">10. Lutjeboer T, van Netten JJ, Postema K, Hijmans JM. Validity and feasibility of a temperature sensor for measuring use and non-use of orthopaedic footwear. J Rehabil Med. 2018;50(10):920–926.</w:t>
      </w:r>
    </w:p>
    <w:p>
      <w:pPr>
        <w:spacing w:after="100"/>
        <w:ind w:left="454" w:hanging="454"/>
        <w:jc w:val="left"/>
      </w:pPr>
      <w:r>
        <w:rPr>
          <w:sz w:val="20"/>
          <w:szCs w:val="20"/>
        </w:rPr>
        <w:t xml:space="preserve">11. Michie S, van Stralen MM, West R. The behaviour change wheel: a new method for characterising and designing behaviour change interventions. Implement Sci. 2011;6:42. doi:10.1186/1748-5908-6-42</w:t>
      </w:r>
    </w:p>
    <w:p>
      <w:pPr>
        <w:spacing w:after="100"/>
        <w:ind w:left="454" w:hanging="454"/>
        <w:jc w:val="left"/>
      </w:pPr>
      <w:r>
        <w:rPr>
          <w:sz w:val="20"/>
          <w:szCs w:val="20"/>
        </w:rPr>
        <w:t xml:space="preserve">12. Morbach S, Kersken J, Lobmann R, Nobels F, Doggen K, Van Acker K. The German and Belgian accreditation models for diabetic foot services. Diabetes Metab Res Rev. 2016;32(Suppl 1):318–325.</w:t>
      </w:r>
    </w:p>
    <w:p>
      <w:pPr>
        <w:spacing w:after="100"/>
        <w:ind w:left="454" w:hanging="454"/>
        <w:jc w:val="left"/>
      </w:pPr>
      <w:r>
        <w:rPr>
          <w:sz w:val="20"/>
          <w:szCs w:val="20"/>
        </w:rPr>
        <w:t xml:space="preserve">13. Chan A-W, Boutron I, Hopewell S, Moher D, Schulz KF, Collins GS, et al. SPIRIT 2025 statement: updated guideline for protocols of randomised trials. BMJ. 2025;389:e081477. doi:10.1136/bmj-2024-081477</w:t>
      </w:r>
    </w:p>
    <w:p>
      <w:pPr>
        <w:spacing w:after="100"/>
        <w:ind w:left="454" w:hanging="454"/>
        <w:jc w:val="left"/>
      </w:pPr>
      <w:r>
        <w:rPr>
          <w:sz w:val="20"/>
          <w:szCs w:val="20"/>
        </w:rPr>
        <w:t xml:space="preserve">14. Hoffmann TC, Glasziou PP, Boutron I, Milne R, Perera R, Moher D, et al. Better reporting of interventions: template for intervention description and replication (TIDieR) checklist and guide. BMJ. 2014;348:g1687. doi:10.1136/bmj.g1687</w:t>
      </w:r>
    </w:p>
    <w:p>
      <w:pPr>
        <w:spacing w:after="100"/>
        <w:ind w:left="454" w:hanging="454"/>
        <w:jc w:val="left"/>
      </w:pPr>
      <w:r>
        <w:rPr>
          <w:sz w:val="20"/>
          <w:szCs w:val="20"/>
        </w:rPr>
        <w:t xml:space="preserve">15. Loudon K, Treweek S, Sullivan F, Donnan PT, Thorpe KE, Zwarenstein M. The PRECIS-2 tool: designing trials that are fit for purpose. BMJ. 2015;350:h2147. doi:10.1136/bmj.h2147</w:t>
      </w:r>
    </w:p>
    <w:p>
      <w:pPr>
        <w:spacing w:after="100"/>
        <w:ind w:left="454" w:hanging="454"/>
        <w:jc w:val="left"/>
      </w:pPr>
      <w:r>
        <w:rPr>
          <w:sz w:val="20"/>
          <w:szCs w:val="20"/>
        </w:rPr>
        <w:t xml:space="preserve">16. Hopewell S, Chan A-W, Collins GS, Hróbjartsson A, Moher D, Schulz KF, et al. CONSORT 2025 statement: updated guideline for reporting randomised trials. BMJ. 2025;389:e081123. doi:10.1136/bmj-2024-081123</w:t>
      </w:r>
    </w:p>
    <w:p>
      <w:pPr>
        <w:spacing w:after="100"/>
        <w:ind w:left="454" w:hanging="454"/>
        <w:jc w:val="left"/>
      </w:pPr>
      <w:r>
        <w:rPr>
          <w:sz w:val="20"/>
          <w:szCs w:val="20"/>
        </w:rPr>
        <w:t xml:space="preserve">17. Lincoln NB, Jeffcoate WJ, Ince P, Smith M, Radford KA. Validation of a new measure of protective footcare behaviour: the Nottingham Assessment of Functional Footcare (NAFF). Practical Diabetes International. 2007;24(4):207–211. doi:10.1002/pdi.1099</w:t>
      </w:r>
    </w:p>
    <w:p>
      <w:pPr>
        <w:spacing w:after="100"/>
        <w:ind w:left="454" w:hanging="454"/>
        <w:jc w:val="left"/>
      </w:pPr>
      <w:r>
        <w:rPr>
          <w:sz w:val="20"/>
          <w:szCs w:val="20"/>
        </w:rPr>
        <w:t xml:space="preserve">18. van Netten JJ, Bus SA, Apelqvist J, Chen P, Chuter V, Fitridge R, et al. Definitions and criteria for diabetes-related foot disease (IWGDF 2023 update). Diabetes Metab Res Rev. 2024;40(3):e3654. doi:10.1002/dmrr.3654</w:t>
      </w:r>
    </w:p>
    <w:p>
      <w:pPr>
        <w:spacing w:after="100"/>
        <w:ind w:left="454" w:hanging="454"/>
        <w:jc w:val="left"/>
      </w:pPr>
      <w:r>
        <w:rPr>
          <w:sz w:val="20"/>
          <w:szCs w:val="20"/>
        </w:rPr>
        <w:t xml:space="preserve">19. Dahmen R, Siemonsma PC, Monteiro S, Roorda LD, Lankhorst GJ, Boers M. Evaluation of the wear-and-tear scale for therapeutic footwear: results of a generalizability study. J Rehabil Med. 2018;50(6):569–574. doi:10.2340/16501977-2339</w:t>
      </w:r>
    </w:p>
    <w:p>
      <w:pPr>
        <w:spacing w:after="100"/>
        <w:ind w:left="454" w:hanging="454"/>
        <w:jc w:val="left"/>
      </w:pPr>
      <w:r>
        <w:rPr>
          <w:sz w:val="20"/>
          <w:szCs w:val="20"/>
        </w:rPr>
        <w:t xml:space="preserve">20. Keukenkamp R, van Netten JJ, Busch-Westbroek TE, Bus SA. Custom-made footwear designed for indoor use increases short-term and long-term adherence in people with diabetes at high ulcer risk. BMJ Open Diabetes Res Care. 2022;10(1):e002593. doi:10.1136/bmjdrc-2021-002593</w:t>
      </w:r>
    </w:p>
    <w:p>
      <w:pPr>
        <w:spacing w:after="100"/>
        <w:ind w:left="454" w:hanging="454"/>
        <w:jc w:val="left"/>
      </w:pPr>
      <w:r>
        <w:rPr>
          <w:sz w:val="20"/>
          <w:szCs w:val="20"/>
        </w:rPr>
        <w:t>21. Hakkaart-van Roijen L, Peeters S, Kanters T. Kostenhandleiding voor economische evaluaties in de gezondheidszorg: methodologie en referentieprijzen. Diemen: Zorginstituut Nederland; 2024.</w:t>
      </w:r>
    </w:p>
    <w:p>
      <w:pPr>
        <w:spacing w:after="100"/>
        <w:ind w:left="454" w:hanging="454"/>
        <w:jc w:val="left"/>
      </w:pPr>
      <w:r>
        <w:rPr>
          <w:sz w:val="20"/>
          <w:szCs w:val="20"/>
        </w:rPr>
        <w:t xml:space="preserve">22. Moore GF, Audrey S, Barker M, Bond L, Bonell C, Hardeman W, et al. Process evaluation of complex interventions: Medical Research Council guidance. BMJ. 2015;350:h1258. doi:10.1136/bmj.h1258</w:t>
      </w:r>
    </w:p>
    <w:p>
      <w:pPr>
        <w:spacing w:after="100"/>
        <w:ind w:left="454" w:hanging="454"/>
        <w:jc w:val="left"/>
      </w:pPr>
      <w:r>
        <w:rPr>
          <w:sz w:val="20"/>
          <w:szCs w:val="20"/>
        </w:rPr>
        <w:t xml:space="preserve">23. Abbott CA, Chatwin KE, Foden P, Hasan AN, Sange C, Rajbhandari SM, et al. Innovative intelligent insole system reduces diabetic foot ulcer recurrence at plantar sites: a prospective, randomised, proof-of-concept study. Lancet Digit Health. 2019;1(6):e308–e318. doi:10.1016/S2589-7500(19)30128-1</w:t>
      </w:r>
    </w:p>
    <w:p>
      <w:pPr>
        <w:spacing w:after="100"/>
        <w:ind w:left="454" w:hanging="454"/>
        <w:jc w:val="left"/>
      </w:pPr>
      <w:r>
        <w:rPr>
          <w:sz w:val="20"/>
          <w:szCs w:val="20"/>
        </w:rPr>
        <w:t xml:space="preserve">24. van Netten JJ, van Baal JG, Bril A, Wissink M, Bus SA. An exploratory study on differences in cumulative plantar tissue stress between healing and non-healing plantar neuropathic diabetic foot ulcers. Clin Biomech. 2018;53:86–92.</w:t>
      </w:r>
    </w:p>
    <w:p>
      <w:pPr>
        <w:spacing w:after="100"/>
        <w:ind w:left="454" w:hanging="454"/>
        <w:jc w:val="left"/>
      </w:pPr>
      <w:r>
        <w:rPr>
          <w:sz w:val="20"/>
          <w:szCs w:val="20"/>
        </w:rPr>
        <w:t xml:space="preserve">25. Lazzarini PA, Jarl G, Najafi B, Alfonso-Sanchez JL, van Netten JJ, Bus SA, et al. The stress of measuring plantar tissue stress in people with diabetes-related foot ulcers: biomechanical and feasibility findings from two prospective cohort studies. Sensors. 2024;24(8):2411. doi:10.3390/s24082411</w:t>
      </w:r>
    </w:p>
    <w:p>
      <w:pPr>
        <w:spacing w:after="100"/>
        <w:ind w:left="454" w:hanging="454"/>
        <w:jc w:val="left"/>
      </w:pPr>
      <w:r>
        <w:rPr>
          <w:sz w:val="20"/>
          <w:szCs w:val="20"/>
        </w:rPr>
        <w:t xml:space="preserve">26. Hulshof CM, Busch-Westbroek TE, van Netten JJ, Bus SA, et al. The predictive value of cumulative plantar tissue stress on future plantar foot ulceration in people with diabetes — a 12-month prospective observational study. Diabet Med. 2025;42:e70099. doi:10.1111/dme.70099</w:t>
      </w:r>
    </w:p>
    <w:p>
      <w:pPr>
        <w:spacing w:after="100"/>
        <w:ind w:left="454" w:hanging="454"/>
        <w:jc w:val="left"/>
      </w:pPr>
      <w:r>
        <w:rPr>
          <w:sz w:val="20"/>
          <w:szCs w:val="20"/>
        </w:rPr>
        <w:t xml:space="preserve">27. Bus SA, van Netten JJ, Schouten DR, Dijkgraaf MGW. Cost-effectiveness of pressure-guided-offloading-improved custom-made footwear for people with diabetes at high risk of plantar foot ulceration. Diabetology. 2026;7(4):70. doi:10.3390/diabetology7040070</w:t>
      </w:r>
    </w:p>
    <w:p>
      <w:pPr>
        <w:spacing w:after="100"/>
        <w:ind w:left="454" w:hanging="454"/>
        <w:jc w:val="left"/>
      </w:pPr>
      <w:r>
        <w:rPr>
          <w:sz w:val="20"/>
          <w:szCs w:val="20"/>
        </w:rPr>
        <w:t xml:space="preserve">28. van Netten JJ, aan de Stegge WB, Dijkgraaf MGW, Bus SA. Cost-effectiveness of temperature monitoring to help prevent foot ulcer recurrence in people with diabetes: a multicenter randomized controlled trial. Diabetes Metab Res Rev. 2024;40(4):e3805. doi:10.1002/dmrr.3805</w:t>
      </w:r>
    </w:p>
    <w:p>
      <w:pPr>
        <w:spacing w:after="100"/>
        <w:ind w:left="454" w:hanging="454"/>
        <w:jc w:val="left"/>
      </w:pPr>
      <w:r>
        <w:rPr>
          <w:sz w:val="20"/>
          <w:szCs w:val="20"/>
        </w:rPr>
        <w:t xml:space="preserve">29. Prompers L, Huijberts M, Schaper N, Apelqvist J, Bakker K, Edmonds M, et al. Resource utilisation and costs associated with the treatment of diabetic foot ulcers. Prospective data from the Eurodiale Study. Diabetologia. 2008;51(10):1826–1834. doi:10.1007/s00125-008-1089-6</w:t>
      </w:r>
    </w:p>
    <w:p>
      <w:pPr>
        <w:spacing w:after="100"/>
        <w:ind w:left="454" w:hanging="454"/>
        <w:jc w:val="left"/>
      </w:pPr>
      <w:r>
        <w:rPr>
          <w:sz w:val="20"/>
          <w:szCs w:val="20"/>
        </w:rPr>
        <w:t xml:space="preserve">30. Ragnarson Tennvall G, Apelqvist J. Prevention of diabetes-related foot ulcers and amputations: a cost-utility analysis based on Markov model simulations. Diabetologia. 2001;44(11):2077–2087. doi:10.1007/s001250100013</w:t>
      </w:r>
    </w:p>
    <w:p>
      <w:pPr>
        <w:spacing w:after="100"/>
        <w:ind w:left="454" w:hanging="454"/>
        <w:jc w:val="left"/>
      </w:pPr>
      <w:r>
        <w:rPr>
          <w:sz w:val="20"/>
          <w:szCs w:val="20"/>
        </w:rPr>
        <w:t xml:space="preserve">31. Ortegon MM, Redekop WK, Niessen LW. Cost-effectiveness of prevention and treatment of the diabetic foot: a Markov analysis. Diabetes Care. 2004;27(4):901–907. doi:10.2337/diacare.27.4.901</w:t>
      </w:r>
    </w:p>
    <w:p>
      <w:pPr>
        <w:spacing w:after="100"/>
        <w:ind w:left="454" w:hanging="454"/>
        <w:jc w:val="left"/>
      </w:pPr>
      <w:r>
        <w:rPr>
          <w:sz w:val="20"/>
          <w:szCs w:val="20"/>
        </w:rPr>
        <w:t xml:space="preserve">32. Zwaferink JBJ, Nollet F, Bus SA. In-shoe pressure measurements in diabetic footwear practice: success rate and facilitators of and barriers to implementation. Sensors. 2024;24(6):1795. doi:10.3390/s24061795</w:t>
      </w:r>
    </w:p>
    <w:p>
      <w:pPr>
        <w:spacing w:after="100"/>
        <w:ind w:left="454" w:hanging="454"/>
        <w:jc w:val="left"/>
      </w:pPr>
      <w:r>
        <w:rPr>
          <w:sz w:val="20"/>
          <w:szCs w:val="20"/>
        </w:rPr>
        <w:t xml:space="preserve">33. van Netten JJ, Vossen LE, Driebergen FM, Wolthuis D, Merkx MJM, Bus SA. Short-term efficacy of a multi-modal intervention program to improve custom-made footwear use in people at high risk of diabetes-related foot ulceration. J Clin Med. 2025;14(11):3635. doi:10.3390/jcm14113635</w:t>
      </w:r>
    </w:p>
    <w:p>
      <w:pPr>
        <w:spacing w:after="100"/>
        <w:ind w:left="454" w:hanging="454"/>
        <w:jc w:val="left"/>
      </w:pPr>
      <w:r>
        <w:rPr>
          <w:sz w:val="20"/>
          <w:szCs w:val="20"/>
        </w:rPr>
        <w:t xml:space="preserve">34. Husereau D, Drummond M, Petrou S, Carswell C, Moher D, Greenberg D, et al. Consolidated Health Economic Evaluation Reporting Standards (CHEERS) statement. Pharmacoeconomics. 2013;31(5):361–367. doi:10.1007/s40273-013-0032-y</w:t>
      </w:r>
    </w:p>
    <w:p>
      <w:r>
        <w:rPr>
          <w:sz w:val="20"/>
        </w:rPr>
        <w:t>35. Staniszewska A, Game F, Nixon J, Russell D, Armstrong DG, Ashmore C, et al. Development of a core outcome set for studies assessing interventions for diabetes-related foot ulceration. Diabetes Care. 2024;47(11):1958–1968. doi:10.2337/dc24-1112</w:t>
      </w:r>
    </w:p>
    <w:p>
      <w:r>
        <w:rPr>
          <w:sz w:val="20"/>
        </w:rPr>
        <w:t>36. Staniszewska A, Jones A, Davies L, Game F, Nixon J, Russell D, et al. Development of a core descriptor set for studies assessing interventions for diabetes-related foot ulceration. Diabetologia. 2026. doi:10.1007/s00125-026-06815-1</w:t>
      </w:r>
    </w:p>
    <w:p>
      <w:pPr>
        <w:pStyle w:val="Heading1"/>
        <w:spacing w:after="160" w:before="320"/>
      </w:pPr>
      <w:r>
        <w:t xml:space="preserve">Figure legends</w:t>
      </w:r>
    </w:p>
    <w:p>
      <w:pPr>
        <w:spacing w:after="140" w:line="276"/>
        <w:jc w:val="both"/>
      </w:pPr>
      <w:r>
        <w:rPr>
          <w:b/>
          <w:bCs/>
          <w:sz w:val="22"/>
          <w:szCs w:val="22"/>
        </w:rPr>
        <w:t xml:space="preserve">Figure 1.</w:t>
      </w:r>
      <w:r>
        <w:rPr>
          <w:sz w:val="22"/>
          <w:szCs w:val="22"/>
        </w:rPr>
        <w:t xml:space="preserve"> Planned participant flow (CONSORT 2025 diagram). Screening through eligibility assessment, consent, centre-stratified randomisation with variable permuted blocks (1:1), and follow-up to 18 months, for a planned sample of 144 participants (72 per arm; 24 per centre across six centres). Observed numbers, exclusions and losses to follow-up will be reported in the results publication.</w:t>
      </w:r>
    </w:p>
    <w:p>
      <w:pPr>
        <w:spacing w:after="140" w:line="276"/>
        <w:jc w:val="both"/>
      </w:pPr>
      <w:r>
        <w:rPr>
          <w:b/>
          <w:bCs/>
          <w:sz w:val="22"/>
          <w:szCs w:val="22"/>
        </w:rPr>
        <w:t xml:space="preserve">Figure 2.</w:t>
      </w:r>
      <w:r>
        <w:rPr>
          <w:sz w:val="22"/>
          <w:szCs w:val="22"/>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w:pPr>
        <w:spacing w:after="140" w:line="276"/>
        <w:jc w:val="both"/>
      </w:pPr>
      <w:r>
        <w:rPr>
          <w:b/>
          <w:bCs/>
          <w:sz w:val="22"/>
          <w:szCs w:val="22"/>
        </w:rPr>
        <w:t xml:space="preserve">Figure 3.</w:t>
      </w:r>
      <w:r>
        <w:rPr>
          <w:sz w:val="22"/>
          <w:szCs w:val="22"/>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developed by consortium consensus and defines the constructs the process evaluation is designed to measure.</w:t>
      </w:r>
    </w:p>
    <w:p>
      <w:pPr>
        <w:spacing w:after="140" w:line="276"/>
        <w:jc w:val="both"/>
      </w:pPr>
      <w:r>
        <w:rPr>
          <w:b/>
          <w:bCs/>
          <w:sz w:val="22"/>
          <w:szCs w:val="22"/>
        </w:rPr>
        <w:t xml:space="preserve">Figure 4.</w:t>
      </w:r>
      <w:r>
        <w:rPr>
          <w:sz w:val="22"/>
          <w:szCs w:val="22"/>
        </w:rPr>
        <w:t xml:space="preserve"> PRECIS-2 wheel positioning PARADISE on the explanatory–pragmatic continuum across the nine domains of eligibility, recruitment, setting, organisation, flexibility of delivery, flexibility of adherence, follow-up, primary outcome and primary analysis.</w:t>
      </w:r>
    </w:p>
    <w:p>
      <w:pPr>
        <w:spacing w:after="140" w:line="276"/>
        <w:jc w:val="both"/>
      </w:pPr>
      <w:r>
        <w:rPr>
          <w:b/>
          <w:bCs/>
          <w:sz w:val="22"/>
          <w:szCs w:val="22"/>
        </w:rPr>
        <w:t xml:space="preserve">Figure 5.</w:t>
      </w:r>
      <w:r>
        <w:rPr>
          <w:sz w:val="22"/>
          <w:szCs w:val="22"/>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approximates this relationship with two fixed cut-points, neither derived from outcome data. This analysis is exploratory and restricted to participants with adequate concurrent sensor coverage.</w:t>
      </w:r>
    </w:p>
    <w:p>
      <w:pPr>
        <w:pStyle w:val="Heading1"/>
        <w:spacing w:after="160" w:before="320"/>
      </w:pPr>
      <w:r>
        <w:t xml:space="preserve">Table legends</w:t>
      </w:r>
    </w:p>
    <w:p>
      <w:pPr>
        <w:spacing w:after="140" w:line="276"/>
        <w:jc w:val="both"/>
      </w:pPr>
      <w:r>
        <w:rPr>
          <w:b/>
          <w:bCs/>
          <w:sz w:val="22"/>
          <w:szCs w:val="22"/>
        </w:rPr>
        <w:t xml:space="preserve">Table 1.</w:t>
      </w:r>
      <w:r>
        <w:rPr>
          <w:sz w:val="22"/>
          <w:szCs w:val="22"/>
        </w:rPr>
        <w:t xml:space="preserve"> Participating Diabetic Foot Clinics, addresses, site investigators and centre type.</w:t>
      </w:r>
    </w:p>
    <w:p>
      <w:pPr>
        <w:spacing w:after="140" w:line="276"/>
        <w:jc w:val="both"/>
      </w:pPr>
      <w:r>
        <w:rPr>
          <w:b/>
          <w:bCs/>
          <w:sz w:val="22"/>
          <w:szCs w:val="22"/>
        </w:rPr>
        <w:t xml:space="preserve">Table 2.</w:t>
      </w:r>
      <w:r>
        <w:rPr>
          <w:sz w:val="22"/>
          <w:szCs w:val="22"/>
        </w:rPr>
        <w:t xml:space="preserve"> Schedule of enrolment, interventions and assessments (SPIRIT 2025 diagram).</w:t>
      </w:r>
    </w:p>
    <w:p>
      <w:pPr>
        <w:spacing w:after="140" w:line="276"/>
        <w:jc w:val="both"/>
      </w:pPr>
      <w:r>
        <w:rPr>
          <w:b/>
          <w:bCs/>
          <w:sz w:val="22"/>
          <w:szCs w:val="22"/>
        </w:rPr>
        <w:t xml:space="preserve">Table 3.</w:t>
      </w:r>
      <w:r>
        <w:rPr>
          <w:sz w:val="22"/>
          <w:szCs w:val="22"/>
        </w:rPr>
        <w:t xml:space="preserve"> Outcome measures: definitions, instruments, assessment timepoints and source case report forms.</w:t>
      </w:r>
    </w:p>
    <w:p>
      <w:pPr>
        <w:spacing w:after="140" w:line="276"/>
        <w:jc w:val="both"/>
      </w:pPr>
      <w:r>
        <w:rPr>
          <w:b/>
          <w:bCs/>
          <w:sz w:val="22"/>
          <w:szCs w:val="22"/>
        </w:rPr>
        <w:t xml:space="preserve">Table 4.</w:t>
      </w:r>
      <w:r>
        <w:rPr>
          <w:sz w:val="22"/>
          <w:szCs w:val="22"/>
        </w:rPr>
        <w:t xml:space="preserve"> PARADISE intervention components: description, deliverer and timing.</w:t>
      </w:r>
    </w:p>
    <w:p>
      <w:pPr>
        <w:pStyle w:val="Heading1"/>
        <w:spacing w:after="160" w:before="320"/>
      </w:pPr>
      <w:r>
        <w:t xml:space="preserve">Appendices</w:t>
      </w:r>
    </w:p>
    <w:p>
      <w:pPr>
        <w:spacing w:after="140" w:line="276"/>
        <w:jc w:val="both"/>
      </w:pPr>
      <w:r>
        <w:rPr>
          <w:b/>
          <w:bCs/>
          <w:sz w:val="22"/>
          <w:szCs w:val="22"/>
        </w:rPr>
        <w:t xml:space="preserve">Additional file 1.</w:t>
      </w:r>
      <w:r>
        <w:rPr>
          <w:sz w:val="22"/>
          <w:szCs w:val="22"/>
        </w:rPr>
        <w:t xml:space="preserve"> Completed SPIRIT 2025 checklist.</w:t>
      </w:r>
    </w:p>
    <w:p>
      <w:pPr>
        <w:spacing w:after="140" w:line="276"/>
        <w:jc w:val="both"/>
      </w:pPr>
      <w:r>
        <w:rPr>
          <w:b/>
          <w:bCs/>
          <w:sz w:val="22"/>
          <w:szCs w:val="22"/>
        </w:rPr>
        <w:t xml:space="preserve">Additional file 2.</w:t>
      </w:r>
      <w:r>
        <w:rPr>
          <w:sz w:val="22"/>
          <w:szCs w:val="22"/>
        </w:rPr>
        <w:t xml:space="preserve"> Completed TIDieR checklist for the PARADISE intervention.</w:t>
      </w:r>
    </w:p>
    <w:p>
      <w:pPr>
        <w:spacing w:after="140" w:line="276"/>
        <w:jc w:val="both"/>
      </w:pPr>
      <w:r>
        <w:rPr>
          <w:b/>
          <w:bCs/>
          <w:sz w:val="22"/>
          <w:szCs w:val="22"/>
        </w:rPr>
        <w:t xml:space="preserve">Additional file 3.</w:t>
      </w:r>
      <w:r>
        <w:rPr>
          <w:sz w:val="22"/>
          <w:szCs w:val="22"/>
        </w:rPr>
        <w:t xml:space="preserve"> Model informed consent documentation.</w:t>
      </w:r>
    </w:p>
    <w:p>
      <w:pPr>
        <w:spacing w:after="140" w:line="276"/>
        <w:jc w:val="both"/>
      </w:pPr>
      <w:r>
        <w:rPr>
          <w:b/>
          <w:bCs/>
          <w:sz w:val="22"/>
          <w:szCs w:val="22"/>
        </w:rPr>
        <w:t xml:space="preserve">Additional file 4.</w:t>
      </w:r>
      <w:r>
        <w:rPr>
          <w:sz w:val="22"/>
          <w:szCs w:val="22"/>
        </w:rPr>
        <w:t xml:space="preserve"> Statistical analysis plan (to be deposited before database lock).</w:t>
      </w:r>
    </w:p>
    <w:p>
      <w:pPr>
        <w:spacing w:after="140" w:line="276"/>
        <w:jc w:val="both"/>
      </w:pPr>
      <w:r>
        <w:rPr>
          <w:b/>
          <w:bCs/>
          <w:sz w:val="22"/>
          <w:szCs w:val="22"/>
        </w:rPr>
        <w:t xml:space="preserve">Additional file 5.</w:t>
      </w:r>
      <w:r>
        <w:rPr>
          <w:sz w:val="22"/>
          <w:szCs w:val="22"/>
        </w:rPr>
        <w:t xml:space="preserve"> Ethical approval document.</w:t>
      </w:r>
    </w:p>
    <w:p>
      <w:pPr>
        <w:spacing w:after="140" w:line="276"/>
        <w:jc w:val="both"/>
      </w:pPr>
      <w:r>
        <w:rPr>
          <w:b/>
          <w:bCs/>
          <w:sz w:val="22"/>
          <w:szCs w:val="22"/>
        </w:rPr>
        <w:t xml:space="preserve">Additional file 6.</w:t>
      </w:r>
      <w:r>
        <w:rPr>
          <w:sz w:val="22"/>
          <w:szCs w:val="22"/>
        </w:rPr>
        <w:t xml:space="preserve"> Original funding documentation (FWO T000226N).</w:t>
      </w:r>
    </w:p>
    <w:p>
      <w:pPr>
        <w:pStyle w:val="Heading1"/>
        <w:spacing w:after="160" w:before="320"/>
      </w:pPr>
      <w:r>
        <w:t xml:space="preserve">Tables</w:t>
      </w:r>
    </w:p>
    <w:p>
      <w:pPr>
        <w:pStyle w:val="Heading2"/>
        <w:spacing w:after="120" w:before="260"/>
      </w:pPr>
      <w:r>
        <w:t xml:space="preserve">Table 1. Participating Diabetic Foot Clinics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000"/>
        <w:gridCol w:w="1226"/>
      </w:tblGrid>
      <w:tr>
        <w:trPr>
          <w:tblHeader/>
        </w:trPr>
        <w:tc>
          <w:tcPr>
            <w:tcW w:type="dxa" w:w="2900"/>
            <w:shd w:fill="E8EDF2" w:val="clear"/>
            <w:tcMar>
              <w:top w:type="dxa" w:w="60"/>
              <w:left w:type="dxa" w:w="80"/>
              <w:bottom w:type="dxa" w:w="60"/>
              <w:right w:type="dxa" w:w="80"/>
            </w:tcMar>
          </w:tcPr>
          <w:p>
            <w:r>
              <w:rPr>
                <w:b/>
                <w:bCs/>
                <w:sz w:val="19"/>
                <w:szCs w:val="19"/>
              </w:rPr>
              <w:t xml:space="preserve">Site</w:t>
            </w:r>
          </w:p>
        </w:tc>
        <w:tc>
          <w:tcPr>
            <w:tcW w:type="dxa" w:w="2900"/>
            <w:shd w:fill="E8EDF2" w:val="clear"/>
            <w:tcMar>
              <w:top w:type="dxa" w:w="60"/>
              <w:left w:type="dxa" w:w="80"/>
              <w:bottom w:type="dxa" w:w="60"/>
              <w:right w:type="dxa" w:w="80"/>
            </w:tcMar>
          </w:tcPr>
          <w:p>
            <w:r>
              <w:rPr>
                <w:b/>
                <w:bCs/>
                <w:sz w:val="19"/>
                <w:szCs w:val="19"/>
              </w:rPr>
              <w:t xml:space="preserve">Address</w:t>
            </w:r>
          </w:p>
        </w:tc>
        <w:tc>
          <w:tcPr>
            <w:tcW w:type="dxa" w:w="2000"/>
            <w:shd w:fill="E8EDF2" w:val="clear"/>
            <w:tcMar>
              <w:top w:type="dxa" w:w="60"/>
              <w:left w:type="dxa" w:w="80"/>
              <w:bottom w:type="dxa" w:w="60"/>
              <w:right w:type="dxa" w:w="80"/>
            </w:tcMar>
          </w:tcPr>
          <w:p>
            <w:r>
              <w:rPr>
                <w:b/>
                <w:bCs/>
                <w:sz w:val="19"/>
                <w:szCs w:val="19"/>
              </w:rPr>
              <w:t xml:space="preserve">Site investigator</w:t>
            </w:r>
          </w:p>
        </w:tc>
        <w:tc>
          <w:tcPr>
            <w:tcW w:type="dxa" w:w="1226"/>
            <w:shd w:fill="E8EDF2" w:val="clear"/>
            <w:tcMar>
              <w:top w:type="dxa" w:w="60"/>
              <w:left w:type="dxa" w:w="80"/>
              <w:bottom w:type="dxa" w:w="60"/>
              <w:right w:type="dxa" w:w="80"/>
            </w:tcMar>
          </w:tcPr>
          <w:p>
            <w:r>
              <w:rPr>
                <w:b/>
                <w:bCs/>
                <w:sz w:val="19"/>
                <w:szCs w:val="19"/>
              </w:rPr>
              <w:t xml:space="preserve">Type</w:t>
            </w:r>
          </w:p>
        </w:tc>
      </w:tr>
      <w:tr>
        <w:tc>
          <w:tcPr>
            <w:tcW w:type="dxa" w:w="2900"/>
            <w:tcMar>
              <w:top w:type="dxa" w:w="50"/>
              <w:left w:type="dxa" w:w="80"/>
              <w:bottom w:type="dxa" w:w="50"/>
              <w:right w:type="dxa" w:w="80"/>
            </w:tcMar>
          </w:tcPr>
          <w:p>
            <w:r>
              <w:rPr>
                <w:sz w:val="19"/>
                <w:szCs w:val="19"/>
              </w:rPr>
              <w:t xml:space="preserve">University Hospitals Leuven — Diabetic Foot Clinic</w:t>
            </w:r>
          </w:p>
        </w:tc>
        <w:tc>
          <w:tcPr>
            <w:tcW w:type="dxa" w:w="2900"/>
            <w:tcMar>
              <w:top w:type="dxa" w:w="50"/>
              <w:left w:type="dxa" w:w="80"/>
              <w:bottom w:type="dxa" w:w="50"/>
              <w:right w:type="dxa" w:w="80"/>
            </w:tcMar>
          </w:tcPr>
          <w:p>
            <w:r>
              <w:rPr>
                <w:sz w:val="19"/>
                <w:szCs w:val="19"/>
              </w:rPr>
              <w:t xml:space="preserve">Herestraat 49, 3000 Leuven</w:t>
            </w:r>
          </w:p>
        </w:tc>
        <w:tc>
          <w:tcPr>
            <w:tcW w:type="dxa" w:w="2000"/>
            <w:tcMar>
              <w:top w:type="dxa" w:w="50"/>
              <w:left w:type="dxa" w:w="80"/>
              <w:bottom w:type="dxa" w:w="50"/>
              <w:right w:type="dxa" w:w="80"/>
            </w:tcMar>
          </w:tcPr>
          <w:p>
            <w:r>
              <w:rPr>
                <w:sz w:val="19"/>
                <w:szCs w:val="19"/>
              </w:rPr>
              <w:t xml:space="preserve">Prof. Giovanni Matricali</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Antwerp University Hospital (UZA) — Diabetic Foot Clinic</w:t>
            </w:r>
          </w:p>
        </w:tc>
        <w:tc>
          <w:tcPr>
            <w:tcW w:type="dxa" w:w="2900"/>
            <w:tcMar>
              <w:top w:type="dxa" w:w="50"/>
              <w:left w:type="dxa" w:w="80"/>
              <w:bottom w:type="dxa" w:w="50"/>
              <w:right w:type="dxa" w:w="80"/>
            </w:tcMar>
          </w:tcPr>
          <w:p>
            <w:r>
              <w:rPr>
                <w:sz w:val="19"/>
                <w:szCs w:val="19"/>
              </w:rPr>
              <w:t xml:space="preserve">Drie Eikenstraat 655, 2650 Edegem</w:t>
            </w:r>
          </w:p>
        </w:tc>
        <w:tc>
          <w:tcPr>
            <w:tcW w:type="dxa" w:w="2000"/>
            <w:tcMar>
              <w:top w:type="dxa" w:w="50"/>
              <w:left w:type="dxa" w:w="80"/>
              <w:bottom w:type="dxa" w:w="50"/>
              <w:right w:type="dxa" w:w="80"/>
            </w:tcMar>
          </w:tcPr>
          <w:p>
            <w:r>
              <w:rPr>
                <w:sz w:val="19"/>
                <w:szCs w:val="19"/>
              </w:rPr>
              <w:t xml:space="preserve">Prof. Eveline Dirinck</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Ghent University Hospital — Diabetic Foot Clinic</w:t>
            </w:r>
          </w:p>
        </w:tc>
        <w:tc>
          <w:tcPr>
            <w:tcW w:type="dxa" w:w="2900"/>
            <w:tcMar>
              <w:top w:type="dxa" w:w="50"/>
              <w:left w:type="dxa" w:w="80"/>
              <w:bottom w:type="dxa" w:w="50"/>
              <w:right w:type="dxa" w:w="80"/>
            </w:tcMar>
          </w:tcPr>
          <w:p>
            <w:r>
              <w:rPr>
                <w:sz w:val="19"/>
                <w:szCs w:val="19"/>
              </w:rPr>
              <w:t xml:space="preserve">Corneel Heymanslaan 10, 9000 Ghent</w:t>
            </w:r>
          </w:p>
        </w:tc>
        <w:tc>
          <w:tcPr>
            <w:tcW w:type="dxa" w:w="2000"/>
            <w:tcMar>
              <w:top w:type="dxa" w:w="50"/>
              <w:left w:type="dxa" w:w="80"/>
              <w:bottom w:type="dxa" w:w="50"/>
              <w:right w:type="dxa" w:w="80"/>
            </w:tcMar>
          </w:tcPr>
          <w:p>
            <w:r>
              <w:rPr>
                <w:sz w:val="19"/>
                <w:szCs w:val="19"/>
              </w:rPr>
              <w:t xml:space="preserve">Prof. Caren Randon</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Azorg — Diabetic Foot Clinic</w:t>
            </w:r>
          </w:p>
        </w:tc>
        <w:tc>
          <w:tcPr>
            <w:tcW w:type="dxa" w:w="2900"/>
            <w:tcMar>
              <w:top w:type="dxa" w:w="50"/>
              <w:left w:type="dxa" w:w="80"/>
              <w:bottom w:type="dxa" w:w="50"/>
              <w:right w:type="dxa" w:w="80"/>
            </w:tcMar>
          </w:tcPr>
          <w:p>
            <w:r>
              <w:rPr>
                <w:sz w:val="19"/>
                <w:szCs w:val="19"/>
              </w:rPr>
              <w:t xml:space="preserve">Moorselbaan 164, 9300 Aalst</w:t>
            </w:r>
          </w:p>
        </w:tc>
        <w:tc>
          <w:tcPr>
            <w:tcW w:type="dxa" w:w="2000"/>
            <w:tcMar>
              <w:top w:type="dxa" w:w="50"/>
              <w:left w:type="dxa" w:w="80"/>
              <w:bottom w:type="dxa" w:w="50"/>
              <w:right w:type="dxa" w:w="80"/>
            </w:tcMar>
          </w:tcPr>
          <w:p>
            <w:r>
              <w:rPr>
                <w:sz w:val="19"/>
                <w:szCs w:val="19"/>
              </w:rPr>
              <w:t xml:space="preserve">Prof. Frank Nobels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Sint-Jan Brugge — Diabetic Foot Clinic</w:t>
            </w:r>
          </w:p>
        </w:tc>
        <w:tc>
          <w:tcPr>
            <w:tcW w:type="dxa" w:w="2900"/>
            <w:tcMar>
              <w:top w:type="dxa" w:w="50"/>
              <w:left w:type="dxa" w:w="80"/>
              <w:bottom w:type="dxa" w:w="50"/>
              <w:right w:type="dxa" w:w="80"/>
            </w:tcMar>
          </w:tcPr>
          <w:p>
            <w:r>
              <w:rPr>
                <w:sz w:val="19"/>
                <w:szCs w:val="19"/>
              </w:rPr>
              <w:t xml:space="preserve">Ruddershove 10, 8000 Bruges</w:t>
            </w:r>
          </w:p>
        </w:tc>
        <w:tc>
          <w:tcPr>
            <w:tcW w:type="dxa" w:w="2000"/>
            <w:tcMar>
              <w:top w:type="dxa" w:w="50"/>
              <w:left w:type="dxa" w:w="80"/>
              <w:bottom w:type="dxa" w:w="50"/>
              <w:right w:type="dxa" w:w="80"/>
            </w:tcMar>
          </w:tcPr>
          <w:p>
            <w:r>
              <w:rPr>
                <w:sz w:val="19"/>
                <w:szCs w:val="19"/>
              </w:rPr>
              <w:t xml:space="preserve">Dr Youri Taes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Groeninge — Diabetic Foot Clinic</w:t>
            </w:r>
          </w:p>
        </w:tc>
        <w:tc>
          <w:tcPr>
            <w:tcW w:type="dxa" w:w="2900"/>
            <w:tcMar>
              <w:top w:type="dxa" w:w="50"/>
              <w:left w:type="dxa" w:w="80"/>
              <w:bottom w:type="dxa" w:w="50"/>
              <w:right w:type="dxa" w:w="80"/>
            </w:tcMar>
          </w:tcPr>
          <w:p>
            <w:r>
              <w:rPr>
                <w:sz w:val="19"/>
                <w:szCs w:val="19"/>
              </w:rPr>
              <w:t xml:space="preserve">President Kennedylaan 4, 8500 Kortrijk</w:t>
            </w:r>
          </w:p>
        </w:tc>
        <w:tc>
          <w:tcPr>
            <w:tcW w:type="dxa" w:w="2000"/>
            <w:tcMar>
              <w:top w:type="dxa" w:w="50"/>
              <w:left w:type="dxa" w:w="80"/>
              <w:bottom w:type="dxa" w:w="50"/>
              <w:right w:type="dxa" w:w="80"/>
            </w:tcMar>
          </w:tcPr>
          <w:p>
            <w:r>
              <w:rPr>
                <w:sz w:val="19"/>
                <w:szCs w:val="19"/>
              </w:rPr>
              <w:t xml:space="preserve">Dr Gertjan Vereecke</w:t>
            </w:r>
          </w:p>
        </w:tc>
        <w:tc>
          <w:tcPr>
            <w:tcW w:type="dxa" w:w="1226"/>
            <w:tcMar>
              <w:top w:type="dxa" w:w="50"/>
              <w:left w:type="dxa" w:w="80"/>
              <w:bottom w:type="dxa" w:w="50"/>
              <w:right w:type="dxa" w:w="80"/>
            </w:tcMar>
          </w:tcPr>
          <w:p>
            <w:r>
              <w:rPr>
                <w:sz w:val="19"/>
                <w:szCs w:val="19"/>
              </w:rPr>
              <w:t xml:space="preserve">Non-academic</w:t>
            </w:r>
          </w:p>
        </w:tc>
      </w:tr>
    </w:tbl>
    <w:p>
      <w:pPr>
        <w:sectPr>
          <w:headerReference w:type="default" r:id="rId7"/>
          <w:footerReference w:type="default" r:id="rId8"/>
          <w:pgSz w:w="11906" w:h="16838" w:orient="portrait"/>
          <w:pgMar w:top="1440" w:right="1440" w:bottom="1440" w:left="1440" w:header="708" w:footer="708" w:gutter="0"/>
          <w:lnNumType w:countBy="1" w:restart="continuous" w:distance="400"/>
          <w:pgNumType/>
          <w:docGrid w:linePitch="360"/>
        </w:sectPr>
      </w:pPr>
    </w:p>
    <w:p>
      <w:pPr>
        <w:pStyle w:val="Heading2"/>
        <w:spacing w:after="120" w:before="260"/>
      </w:pPr>
      <w:r>
        <w:t xml:space="preserve">Table 2. Schedule of enrolment, interventions and assessments (SPIRIT 2025 diagram)</w:t>
      </w:r>
    </w:p>
    <w:tbl>
      <w:tblPr>
        <w:tblW w:type="dxa" w:w="13292"/>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200"/>
        <w:gridCol w:w="700"/>
        <w:gridCol w:w="700"/>
        <w:gridCol w:w="700"/>
        <w:gridCol w:w="700"/>
        <w:gridCol w:w="700"/>
        <w:gridCol w:w="700"/>
        <w:gridCol w:w="700"/>
        <w:gridCol w:w="1092"/>
      </w:tblGrid>
      <w:tr>
        <w:trPr>
          <w:tblHeader/>
        </w:trPr>
        <w:tc>
          <w:tcPr>
            <w:tcW w:type="dxa" w:w="3100"/>
            <w:shd w:fill="E8EDF2" w:val="clear"/>
            <w:tcMar>
              <w:top w:type="dxa" w:w="60"/>
              <w:left w:type="dxa" w:w="80"/>
              <w:bottom w:type="dxa" w:w="60"/>
              <w:right w:type="dxa" w:w="80"/>
            </w:tcMar>
          </w:tcPr>
          <w:p>
            <w:r>
              <w:rPr>
                <w:b/>
                <w:bCs/>
                <w:sz w:val="15"/>
                <w:szCs w:val="15"/>
              </w:rPr>
              <w:t xml:space="preserve">Procedure</w:t>
            </w:r>
          </w:p>
        </w:tc>
        <w:tc>
          <w:tcPr>
            <w:tcW w:type="dxa" w:w="900"/>
            <w:shd w:fill="E8EDF2" w:val="clear"/>
            <w:tcMar>
              <w:top w:type="dxa" w:w="60"/>
              <w:left w:type="dxa" w:w="80"/>
              <w:bottom w:type="dxa" w:w="60"/>
              <w:right w:type="dxa" w:w="80"/>
            </w:tcMar>
          </w:tcPr>
          <w:p>
            <w:r>
              <w:rPr>
                <w:b/>
                <w:bCs/>
                <w:sz w:val="15"/>
                <w:szCs w:val="15"/>
              </w:rPr>
              <w:t xml:space="preserve">Screen</w:t>
            </w:r>
          </w:p>
        </w:tc>
        <w:tc>
          <w:tcPr>
            <w:tcW w:type="dxa" w:w="1200"/>
            <w:shd w:fill="E8EDF2" w:val="clear"/>
            <w:tcMar>
              <w:top w:type="dxa" w:w="60"/>
              <w:left w:type="dxa" w:w="80"/>
              <w:bottom w:type="dxa" w:w="60"/>
              <w:right w:type="dxa" w:w="80"/>
            </w:tcMar>
          </w:tcPr>
          <w:p>
            <w:r>
              <w:rPr>
                <w:b/>
                <w:bCs/>
                <w:sz w:val="15"/>
                <w:szCs w:val="15"/>
              </w:rPr>
              <w:t xml:space="preserve">Rand./Base</w:t>
            </w:r>
          </w:p>
        </w:tc>
        <w:tc>
          <w:tcPr>
            <w:tcW w:type="dxa" w:w="700"/>
            <w:shd w:fill="E8EDF2" w:val="clear"/>
            <w:tcMar>
              <w:top w:type="dxa" w:w="60"/>
              <w:left w:type="dxa" w:w="80"/>
              <w:bottom w:type="dxa" w:w="60"/>
              <w:right w:type="dxa" w:w="80"/>
            </w:tcMar>
          </w:tcPr>
          <w:p>
            <w:r>
              <w:rPr>
                <w:b/>
                <w:bCs/>
                <w:sz w:val="15"/>
                <w:szCs w:val="15"/>
              </w:rPr>
              <w:t xml:space="preserve">1</w:t>
            </w:r>
          </w:p>
        </w:tc>
        <w:tc>
          <w:tcPr>
            <w:tcW w:type="dxa" w:w="700"/>
            <w:shd w:fill="E8EDF2" w:val="clear"/>
            <w:tcMar>
              <w:top w:type="dxa" w:w="60"/>
              <w:left w:type="dxa" w:w="80"/>
              <w:bottom w:type="dxa" w:w="60"/>
              <w:right w:type="dxa" w:w="80"/>
            </w:tcMar>
          </w:tcPr>
          <w:p>
            <w:r>
              <w:rPr>
                <w:b/>
                <w:bCs/>
                <w:sz w:val="15"/>
                <w:szCs w:val="15"/>
              </w:rPr>
              <w:t xml:space="preserve">3</w:t>
            </w:r>
          </w:p>
        </w:tc>
        <w:tc>
          <w:tcPr>
            <w:tcW w:type="dxa" w:w="700"/>
            <w:shd w:fill="E8EDF2" w:val="clear"/>
            <w:tcMar>
              <w:top w:type="dxa" w:w="60"/>
              <w:left w:type="dxa" w:w="80"/>
              <w:bottom w:type="dxa" w:w="60"/>
              <w:right w:type="dxa" w:w="80"/>
            </w:tcMar>
          </w:tcPr>
          <w:p>
            <w:r>
              <w:rPr>
                <w:b/>
                <w:bCs/>
                <w:sz w:val="15"/>
                <w:szCs w:val="15"/>
              </w:rPr>
              <w:t xml:space="preserve">6</w:t>
            </w:r>
          </w:p>
        </w:tc>
        <w:tc>
          <w:tcPr>
            <w:tcW w:type="dxa" w:w="700"/>
            <w:shd w:fill="E8EDF2" w:val="clear"/>
            <w:tcMar>
              <w:top w:type="dxa" w:w="60"/>
              <w:left w:type="dxa" w:w="80"/>
              <w:bottom w:type="dxa" w:w="60"/>
              <w:right w:type="dxa" w:w="80"/>
            </w:tcMar>
          </w:tcPr>
          <w:p>
            <w:r>
              <w:rPr>
                <w:b/>
                <w:bCs/>
                <w:sz w:val="15"/>
                <w:szCs w:val="15"/>
              </w:rPr>
              <w:t xml:space="preserve">9</w:t>
            </w:r>
          </w:p>
        </w:tc>
        <w:tc>
          <w:tcPr>
            <w:tcW w:type="dxa" w:w="700"/>
            <w:shd w:fill="E8EDF2" w:val="clear"/>
            <w:tcMar>
              <w:top w:type="dxa" w:w="60"/>
              <w:left w:type="dxa" w:w="80"/>
              <w:bottom w:type="dxa" w:w="60"/>
              <w:right w:type="dxa" w:w="80"/>
            </w:tcMar>
          </w:tcPr>
          <w:p>
            <w:r>
              <w:rPr>
                <w:b/>
                <w:bCs/>
                <w:sz w:val="15"/>
                <w:szCs w:val="15"/>
              </w:rPr>
              <w:t xml:space="preserve">12</w:t>
            </w:r>
          </w:p>
        </w:tc>
        <w:tc>
          <w:tcPr>
            <w:tcW w:type="dxa" w:w="700"/>
            <w:shd w:fill="E8EDF2" w:val="clear"/>
            <w:tcMar>
              <w:top w:type="dxa" w:w="60"/>
              <w:left w:type="dxa" w:w="80"/>
              <w:bottom w:type="dxa" w:w="60"/>
              <w:right w:type="dxa" w:w="80"/>
            </w:tcMar>
          </w:tcPr>
          <w:p>
            <w:r>
              <w:rPr>
                <w:b/>
                <w:bCs/>
                <w:sz w:val="15"/>
                <w:szCs w:val="15"/>
              </w:rPr>
              <w:t xml:space="preserve">15</w:t>
            </w:r>
          </w:p>
        </w:tc>
        <w:tc>
          <w:tcPr>
            <w:tcW w:type="dxa" w:w="700"/>
            <w:shd w:fill="E8EDF2" w:val="clear"/>
            <w:tcMar>
              <w:top w:type="dxa" w:w="60"/>
              <w:left w:type="dxa" w:w="80"/>
              <w:bottom w:type="dxa" w:w="60"/>
              <w:right w:type="dxa" w:w="80"/>
            </w:tcMar>
          </w:tcPr>
          <w:p>
            <w:r>
              <w:rPr>
                <w:b/>
                <w:bCs/>
                <w:sz w:val="15"/>
                <w:szCs w:val="15"/>
              </w:rPr>
              <w:t xml:space="preserve">18</w:t>
            </w:r>
          </w:p>
        </w:tc>
        <w:tc>
          <w:tcPr>
            <w:tcW w:type="dxa" w:w="1092"/>
            <w:shd w:fill="E8EDF2" w:val="clear"/>
            <w:tcMar>
              <w:top w:type="dxa" w:w="60"/>
              <w:left w:type="dxa" w:w="80"/>
              <w:bottom w:type="dxa" w:w="60"/>
              <w:right w:type="dxa" w:w="80"/>
            </w:tcMar>
          </w:tcPr>
          <w:p>
            <w:r>
              <w:rPr>
                <w:b/>
                <w:bCs/>
                <w:sz w:val="15"/>
                <w:szCs w:val="15"/>
              </w:rPr>
              <w:t xml:space="preserve">Unsch.</w:t>
            </w:r>
          </w:p>
        </w:tc>
      </w:tr>
      <w:tr>
        <w:tc>
          <w:tcPr>
            <w:tcW w:type="dxa" w:w="3100"/>
            <w:tcMar>
              <w:top w:type="dxa" w:w="50"/>
              <w:left w:type="dxa" w:w="80"/>
              <w:bottom w:type="dxa" w:w="50"/>
              <w:right w:type="dxa" w:w="80"/>
            </w:tcMar>
          </w:tcPr>
          <w:p>
            <w:r>
              <w:rPr>
                <w:sz w:val="15"/>
                <w:szCs w:val="15"/>
              </w:rPr>
              <w:t xml:space="preserve">ENROLMENT</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Eligibility screening</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Informed consent (participant, therapist)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Randomisation / allocation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INTERVENTIONS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Scheduled trial visit (both arms)</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CMFO prescription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delivery + sensor integration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1 — education, knowledge/health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2 — footwear-wear education, teach-back</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3 — adherence self-assessment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4 — skills demonstration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5 — final review, results shared</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replacement with sensor re-integration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ASSESSMENTS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Demographics, medical history, foot/footwear screening</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Plantar pressure measurement (F-Scan GO)</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Foot-care knowledge (NAFF) / 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PEDIS / WIfI ulcer classification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Footwear wear-and-tear / usability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EQ-5D-5L (health-related quality of life)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iMTA iPCQ / iMCQ (resource use, costs)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Self-reported adherence (VAS)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Sensor read-out (Orthotimer / MoveMonitor)</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Process evaluation (diaries, interviews, observation)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Adverse event / concomitant medication assessment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bl>
    <w:p>
      <w:pPr>
        <w:spacing w:after="80"/>
      </w:pPr>
    </w:p>
    <w:p>
      <w:pPr>
        <w:spacing w:after="140" w:line="276"/>
        <w:jc w:val="both"/>
      </w:pPr>
      <w:r>
        <w:rPr>
          <w:sz w:val="18"/>
          <w:szCs w:val="18"/>
        </w:rPr>
        <w:t xml:space="preserve">Timepoints in months from randomisation. Screen = screening visit; Rand./Base = randomisation and baseline visit; Unsch.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w:pPr>
        <w:sectPr>
          <w:headerReference w:type="default" r:id="rId9"/>
          <w:footerReference w:type="default" r:id="rId10"/>
          <w:pgSz w:w="16838" w:h="11906" w:orient="landscape"/>
          <w:pgMar w:top="1080" w:right="1080" w:bottom="1080" w:left="1080" w:header="708" w:footer="708" w:gutter="0"/>
          <w:pgNumType/>
          <w:docGrid w:linePitch="360"/>
        </w:sectPr>
      </w:pPr>
    </w:p>
    <w:p>
      <w:pPr>
        <w:pStyle w:val="Heading2"/>
        <w:spacing w:after="120" w:before="260"/>
      </w:pPr>
      <w:r>
        <w:t xml:space="preserve">Table 3. Outcome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3700"/>
        <w:gridCol w:w="1900"/>
        <w:gridCol w:w="1676"/>
      </w:tblGrid>
      <w:tr>
        <w:trPr>
          <w:tblHeader/>
        </w:trPr>
        <w:tc>
          <w:tcPr>
            <w:tcW w:type="dxa" w:w="1750"/>
            <w:shd w:fill="E8EDF2" w:val="clear"/>
            <w:tcMar>
              <w:top w:type="dxa" w:w="60"/>
              <w:left w:type="dxa" w:w="80"/>
              <w:bottom w:type="dxa" w:w="60"/>
              <w:right w:type="dxa" w:w="80"/>
            </w:tcMar>
          </w:tcPr>
          <w:p>
            <w:r>
              <w:rPr>
                <w:b/>
                <w:bCs/>
                <w:sz w:val="18"/>
                <w:szCs w:val="18"/>
              </w:rPr>
              <w:t xml:space="preserve">Outcome</w:t>
            </w:r>
          </w:p>
        </w:tc>
        <w:tc>
          <w:tcPr>
            <w:tcW w:type="dxa" w:w="3700"/>
            <w:shd w:fill="E8EDF2" w:val="clear"/>
            <w:tcMar>
              <w:top w:type="dxa" w:w="60"/>
              <w:left w:type="dxa" w:w="80"/>
              <w:bottom w:type="dxa" w:w="60"/>
              <w:right w:type="dxa" w:w="80"/>
            </w:tcMar>
          </w:tcPr>
          <w:p>
            <w:r>
              <w:rPr>
                <w:b/>
                <w:bCs/>
                <w:sz w:val="18"/>
                <w:szCs w:val="18"/>
              </w:rPr>
              <w:t xml:space="preserve">Definition</w:t>
            </w:r>
          </w:p>
        </w:tc>
        <w:tc>
          <w:tcPr>
            <w:tcW w:type="dxa" w:w="1900"/>
            <w:shd w:fill="E8EDF2" w:val="clear"/>
            <w:tcMar>
              <w:top w:type="dxa" w:w="60"/>
              <w:left w:type="dxa" w:w="80"/>
              <w:bottom w:type="dxa" w:w="60"/>
              <w:right w:type="dxa" w:w="80"/>
            </w:tcMar>
          </w:tcPr>
          <w:p>
            <w:r>
              <w:rPr>
                <w:b/>
                <w:bCs/>
                <w:sz w:val="18"/>
                <w:szCs w:val="18"/>
              </w:rPr>
              <w:t xml:space="preserve">Instrument</w:t>
            </w:r>
          </w:p>
        </w:tc>
        <w:tc>
          <w:tcPr>
            <w:tcW w:type="dxa" w:w="1676"/>
            <w:shd w:fill="E8EDF2" w:val="clear"/>
            <w:tcMar>
              <w:top w:type="dxa" w:w="60"/>
              <w:left w:type="dxa" w:w="80"/>
              <w:bottom w:type="dxa" w:w="60"/>
              <w:right w:type="dxa" w:w="80"/>
            </w:tcMar>
          </w:tcPr>
          <w:p>
            <w:r>
              <w:rPr>
                <w:b/>
                <w:bCs/>
                <w:sz w:val="18"/>
                <w:szCs w:val="18"/>
              </w:rPr>
              <w:t xml:space="preserve">Timepoint(s)</w:t>
            </w:r>
          </w:p>
        </w:tc>
      </w:tr>
      <w:tr>
        <w:tc>
          <w:tcPr>
            <w:tcW w:type="dxa" w:w="1750"/>
            <w:tcMar>
              <w:top w:type="dxa" w:w="50"/>
              <w:left w:type="dxa" w:w="80"/>
              <w:bottom w:type="dxa" w:w="50"/>
              <w:right w:type="dxa" w:w="80"/>
            </w:tcMar>
          </w:tcPr>
          <w:p>
            <w:r>
              <w:rPr>
                <w:sz w:val="18"/>
                <w:szCs w:val="18"/>
              </w:rPr>
              <w:t xml:space="preserve">Foot ulcer recurrence (co-primary)</w:t>
            </w:r>
          </w:p>
        </w:tc>
        <w:tc>
          <w:tcPr>
            <w:tcW w:type="dxa" w:w="3700"/>
            <w:tcMar>
              <w:top w:type="dxa" w:w="50"/>
              <w:left w:type="dxa" w:w="80"/>
              <w:bottom w:type="dxa" w:w="50"/>
              <w:right w:type="dxa" w:w="80"/>
            </w:tcMar>
          </w:tcPr>
          <w:p>
            <w:r>
              <w:rPr>
                <w:sz w:val="18"/>
                <w:szCs w:val="18"/>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type="dxa" w:w="1900"/>
            <w:tcMar>
              <w:top w:type="dxa" w:w="50"/>
              <w:left w:type="dxa" w:w="80"/>
              <w:bottom w:type="dxa" w:w="50"/>
              <w:right w:type="dxa" w:w="80"/>
            </w:tcMar>
          </w:tcPr>
          <w:p>
            <w:r>
              <w:rPr>
                <w:sz w:val="18"/>
                <w:szCs w:val="18"/>
              </w:rPr>
              <w:t xml:space="preserve">Systematic clinical foot screening; independent blinded endpoint adjudication</w:t>
            </w:r>
          </w:p>
        </w:tc>
        <w:tc>
          <w:tcPr>
            <w:tcW w:type="dxa" w:w="1676"/>
            <w:tcMar>
              <w:top w:type="dxa" w:w="50"/>
              <w:left w:type="dxa" w:w="80"/>
              <w:bottom w:type="dxa" w:w="50"/>
              <w:right w:type="dxa" w:w="80"/>
            </w:tcMar>
          </w:tcPr>
          <w:p>
            <w:r>
              <w:rPr>
                <w:sz w:val="18"/>
                <w:szCs w:val="18"/>
              </w:rPr>
              <w:t xml:space="preserve">Continuously over 18 months (all scheduled and unscheduled visits)</w:t>
            </w:r>
          </w:p>
        </w:tc>
      </w:tr>
      <w:tr>
        <w:tc>
          <w:tcPr>
            <w:tcW w:type="dxa" w:w="1750"/>
            <w:tcMar>
              <w:top w:type="dxa" w:w="50"/>
              <w:left w:type="dxa" w:w="80"/>
              <w:bottom w:type="dxa" w:w="50"/>
              <w:right w:type="dxa" w:w="80"/>
            </w:tcMar>
          </w:tcPr>
          <w:p>
            <w:r>
              <w:rPr>
                <w:sz w:val="18"/>
                <w:szCs w:val="18"/>
              </w:rPr>
              <w:t xml:space="preserve">Footwear adherence (co-primary)</w:t>
            </w:r>
          </w:p>
        </w:tc>
        <w:tc>
          <w:tcPr>
            <w:tcW w:type="dxa" w:w="3700"/>
            <w:tcMar>
              <w:top w:type="dxa" w:w="50"/>
              <w:left w:type="dxa" w:w="80"/>
              <w:bottom w:type="dxa" w:w="50"/>
              <w:right w:type="dxa" w:w="80"/>
            </w:tcMar>
          </w:tcPr>
          <w:p>
            <w:r>
              <w:rPr>
                <w:sz w:val="18"/>
                <w:szCs w:val="18"/>
              </w:rPr>
              <w:t xml:space="preserve">Proportion of the individualised, activity-derived wear-time target achieved, averaged across all 7 days/week over 18 months. Analysed as a continuous proportion; responder analysis dichotomised at 80% pre-specified as secondary.</w:t>
            </w:r>
          </w:p>
        </w:tc>
        <w:tc>
          <w:tcPr>
            <w:tcW w:type="dxa" w:w="1900"/>
            <w:tcMar>
              <w:top w:type="dxa" w:w="50"/>
              <w:left w:type="dxa" w:w="80"/>
              <w:bottom w:type="dxa" w:w="50"/>
              <w:right w:type="dxa" w:w="80"/>
            </w:tcMar>
          </w:tcPr>
          <w:p>
            <w:r>
              <w:rPr>
                <w:sz w:val="18"/>
                <w:szCs w:val="18"/>
              </w:rPr>
              <w:t xml:space="preserve">Orthotimer temperature sensor combined with MoveMonitor activity profile</w:t>
            </w:r>
          </w:p>
        </w:tc>
        <w:tc>
          <w:tcPr>
            <w:tcW w:type="dxa" w:w="1676"/>
            <w:tcMar>
              <w:top w:type="dxa" w:w="50"/>
              <w:left w:type="dxa" w:w="80"/>
              <w:bottom w:type="dxa" w:w="50"/>
              <w:right w:type="dxa" w:w="80"/>
            </w:tcMar>
          </w:tcPr>
          <w:p>
            <w:r>
              <w:rPr>
                <w:sz w:val="18"/>
                <w:szCs w:val="18"/>
              </w:rPr>
              <w:t xml:space="preserve">Continuous recording; read-out at each scheduled visit from 3 months</w:t>
            </w:r>
          </w:p>
        </w:tc>
      </w:tr>
      <w:tr>
        <w:tc>
          <w:tcPr>
            <w:tcW w:type="dxa" w:w="1750"/>
            <w:tcMar>
              <w:top w:type="dxa" w:w="50"/>
              <w:left w:type="dxa" w:w="80"/>
              <w:bottom w:type="dxa" w:w="50"/>
              <w:right w:type="dxa" w:w="80"/>
            </w:tcMar>
          </w:tcPr>
          <w:p>
            <w:r>
              <w:rPr>
                <w:sz w:val="18"/>
                <w:szCs w:val="18"/>
              </w:rPr>
              <w:t xml:space="preserve">Plantar-surface ulcer recurrence</w:t>
            </w:r>
          </w:p>
        </w:tc>
        <w:tc>
          <w:tcPr>
            <w:tcW w:type="dxa" w:w="3700"/>
            <w:tcMar>
              <w:top w:type="dxa" w:w="50"/>
              <w:left w:type="dxa" w:w="80"/>
              <w:bottom w:type="dxa" w:w="50"/>
              <w:right w:type="dxa" w:w="80"/>
            </w:tcMar>
          </w:tcPr>
          <w:p>
            <w:r>
              <w:rPr>
                <w:sz w:val="18"/>
                <w:szCs w:val="18"/>
              </w:rPr>
              <w:t xml:space="preserve">Proportion with ≥1 recurrent ulcer on the plantar surface.</w:t>
            </w:r>
          </w:p>
        </w:tc>
        <w:tc>
          <w:tcPr>
            <w:tcW w:type="dxa" w:w="1900"/>
            <w:tcMar>
              <w:top w:type="dxa" w:w="50"/>
              <w:left w:type="dxa" w:w="80"/>
              <w:bottom w:type="dxa" w:w="50"/>
              <w:right w:type="dxa" w:w="80"/>
            </w:tcMar>
          </w:tcPr>
          <w:p>
            <w:r>
              <w:rPr>
                <w:sz w:val="18"/>
                <w:szCs w:val="18"/>
              </w:rPr>
              <w:t xml:space="preserve">Systematic clinical foot screening</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Recurrent ulcer at personalised high-risk location</w:t>
            </w:r>
          </w:p>
        </w:tc>
        <w:tc>
          <w:tcPr>
            <w:tcW w:type="dxa" w:w="3700"/>
            <w:tcMar>
              <w:top w:type="dxa" w:w="50"/>
              <w:left w:type="dxa" w:w="80"/>
              <w:bottom w:type="dxa" w:w="50"/>
              <w:right w:type="dxa" w:w="80"/>
            </w:tcMar>
          </w:tcPr>
          <w:p>
            <w:r>
              <w:rPr>
                <w:sz w:val="18"/>
                <w:szCs w:val="18"/>
              </w:rPr>
              <w:t xml:space="preserve">Proportion with ≥1 recurrent ulcer at predefined high-risk sites referenced against baseline pressure mapping.</w:t>
            </w:r>
          </w:p>
        </w:tc>
        <w:tc>
          <w:tcPr>
            <w:tcW w:type="dxa" w:w="1900"/>
            <w:tcMar>
              <w:top w:type="dxa" w:w="50"/>
              <w:left w:type="dxa" w:w="80"/>
              <w:bottom w:type="dxa" w:w="50"/>
              <w:right w:type="dxa" w:w="80"/>
            </w:tcMar>
          </w:tcPr>
          <w:p>
            <w:r>
              <w:rPr>
                <w:sz w:val="18"/>
                <w:szCs w:val="18"/>
              </w:rPr>
              <w:t xml:space="preserve">Clinical screening against baseline high-risk-location map</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Ulcer-free survival</w:t>
            </w:r>
          </w:p>
        </w:tc>
        <w:tc>
          <w:tcPr>
            <w:tcW w:type="dxa" w:w="3700"/>
            <w:tcMar>
              <w:top w:type="dxa" w:w="50"/>
              <w:left w:type="dxa" w:w="80"/>
              <w:bottom w:type="dxa" w:w="50"/>
              <w:right w:type="dxa" w:w="80"/>
            </w:tcMar>
          </w:tcPr>
          <w:p>
            <w:r>
              <w:rPr>
                <w:sz w:val="18"/>
                <w:szCs w:val="18"/>
              </w:rPr>
              <w:t xml:space="preserve">Ulcer-free survival days.</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Duration of custom-made footwear use</w:t>
            </w:r>
          </w:p>
        </w:tc>
        <w:tc>
          <w:tcPr>
            <w:tcW w:type="dxa" w:w="3700"/>
            <w:tcMar>
              <w:top w:type="dxa" w:w="50"/>
              <w:left w:type="dxa" w:w="80"/>
              <w:bottom w:type="dxa" w:w="50"/>
              <w:right w:type="dxa" w:w="80"/>
            </w:tcMar>
          </w:tcPr>
          <w:p>
            <w:r>
              <w:rPr>
                <w:sz w:val="18"/>
                <w:szCs w:val="18"/>
              </w:rPr>
              <w:t xml:space="preserve">Cumulative recorded wear time.</w:t>
            </w:r>
          </w:p>
        </w:tc>
        <w:tc>
          <w:tcPr>
            <w:tcW w:type="dxa" w:w="1900"/>
            <w:tcMar>
              <w:top w:type="dxa" w:w="50"/>
              <w:left w:type="dxa" w:w="80"/>
              <w:bottom w:type="dxa" w:w="50"/>
              <w:right w:type="dxa" w:w="80"/>
            </w:tcMar>
          </w:tcPr>
          <w:p>
            <w:r>
              <w:rPr>
                <w:sz w:val="18"/>
                <w:szCs w:val="18"/>
              </w:rPr>
              <w:t xml:space="preserve">Orthotimer temperature sensor</w:t>
            </w:r>
          </w:p>
        </w:tc>
        <w:tc>
          <w:tcPr>
            <w:tcW w:type="dxa" w:w="1676"/>
            <w:tcMar>
              <w:top w:type="dxa" w:w="50"/>
              <w:left w:type="dxa" w:w="80"/>
              <w:bottom w:type="dxa" w:w="50"/>
              <w:right w:type="dxa" w:w="80"/>
            </w:tcMar>
          </w:tcPr>
          <w:p>
            <w:r>
              <w:rPr>
                <w:sz w:val="18"/>
                <w:szCs w:val="18"/>
              </w:rPr>
              <w:t xml:space="preserve">Continuous; read-out at scheduled visits</w:t>
            </w:r>
          </w:p>
        </w:tc>
      </w:tr>
      <w:tr>
        <w:tc>
          <w:tcPr>
            <w:tcW w:type="dxa" w:w="1750"/>
            <w:tcMar>
              <w:top w:type="dxa" w:w="50"/>
              <w:left w:type="dxa" w:w="80"/>
              <w:bottom w:type="dxa" w:w="50"/>
              <w:right w:type="dxa" w:w="80"/>
            </w:tcMar>
          </w:tcPr>
          <w:p>
            <w:r>
              <w:rPr>
                <w:sz w:val="18"/>
                <w:szCs w:val="18"/>
              </w:rPr>
              <w:t xml:space="preserve">In-shoe peak plantar pressure</w:t>
            </w:r>
          </w:p>
        </w:tc>
        <w:tc>
          <w:tcPr>
            <w:tcW w:type="dxa" w:w="3700"/>
            <w:tcMar>
              <w:top w:type="dxa" w:w="50"/>
              <w:left w:type="dxa" w:w="80"/>
              <w:bottom w:type="dxa" w:w="50"/>
              <w:right w:type="dxa" w:w="80"/>
            </w:tcMar>
          </w:tcPr>
          <w:p>
            <w:r>
              <w:rPr>
                <w:sz w:val="18"/>
                <w:szCs w:val="18"/>
              </w:rPr>
              <w:t xml:space="preserve">Peak in-shoe plantar pressure at previously ulcerated and high-risk regions; achieved offloading reported as a fidelity measure.</w:t>
            </w:r>
          </w:p>
        </w:tc>
        <w:tc>
          <w:tcPr>
            <w:tcW w:type="dxa" w:w="1900"/>
            <w:tcMar>
              <w:top w:type="dxa" w:w="50"/>
              <w:left w:type="dxa" w:w="80"/>
              <w:bottom w:type="dxa" w:w="50"/>
              <w:right w:type="dxa" w:w="80"/>
            </w:tcMar>
          </w:tcPr>
          <w:p>
            <w:r>
              <w:rPr>
                <w:sz w:val="18"/>
                <w:szCs w:val="18"/>
              </w:rPr>
              <w:t xml:space="preserve">F-Scan GO in-shoe measurement system</w:t>
            </w:r>
          </w:p>
        </w:tc>
        <w:tc>
          <w:tcPr>
            <w:tcW w:type="dxa" w:w="1676"/>
            <w:tcMar>
              <w:top w:type="dxa" w:w="50"/>
              <w:left w:type="dxa" w:w="80"/>
              <w:bottom w:type="dxa" w:w="50"/>
              <w:right w:type="dxa" w:w="80"/>
            </w:tcMar>
          </w:tcPr>
          <w:p>
            <w:r>
              <w:rPr>
                <w:sz w:val="18"/>
                <w:szCs w:val="18"/>
              </w:rPr>
              <w:t xml:space="preserve">Baseline, 6 and 12 months</w:t>
            </w:r>
          </w:p>
        </w:tc>
      </w:tr>
      <w:tr>
        <w:tc>
          <w:tcPr>
            <w:tcW w:type="dxa" w:w="1750"/>
            <w:tcMar>
              <w:top w:type="dxa" w:w="50"/>
              <w:left w:type="dxa" w:w="80"/>
              <w:bottom w:type="dxa" w:w="50"/>
              <w:right w:type="dxa" w:w="80"/>
            </w:tcMar>
          </w:tcPr>
          <w:p>
            <w:r>
              <w:rPr>
                <w:sz w:val="18"/>
                <w:szCs w:val="18"/>
              </w:rPr>
              <w:t xml:space="preserve">Footwear wear-and-tear</w:t>
            </w:r>
          </w:p>
        </w:tc>
        <w:tc>
          <w:tcPr>
            <w:tcW w:type="dxa" w:w="3700"/>
            <w:tcMar>
              <w:top w:type="dxa" w:w="50"/>
              <w:left w:type="dxa" w:w="80"/>
              <w:bottom w:type="dxa" w:w="50"/>
              <w:right w:type="dxa" w:w="80"/>
            </w:tcMar>
          </w:tcPr>
          <w:p>
            <w:r>
              <w:rPr>
                <w:sz w:val="18"/>
                <w:szCs w:val="18"/>
              </w:rPr>
              <w:t xml:space="preserve">Score on the validated wear-and-tear scale for therapeutic footwear.</w:t>
            </w:r>
          </w:p>
        </w:tc>
        <w:tc>
          <w:tcPr>
            <w:tcW w:type="dxa" w:w="1900"/>
            <w:tcMar>
              <w:top w:type="dxa" w:w="50"/>
              <w:left w:type="dxa" w:w="80"/>
              <w:bottom w:type="dxa" w:w="50"/>
              <w:right w:type="dxa" w:w="80"/>
            </w:tcMar>
          </w:tcPr>
          <w:p>
            <w:r>
              <w:rPr>
                <w:sz w:val="18"/>
                <w:szCs w:val="18"/>
              </w:rPr>
              <w:t xml:space="preserve">Wear-and-tear scale</w:t>
            </w:r>
          </w:p>
        </w:tc>
        <w:tc>
          <w:tcPr>
            <w:tcW w:type="dxa" w:w="1676"/>
            <w:tcMar>
              <w:top w:type="dxa" w:w="50"/>
              <w:left w:type="dxa" w:w="80"/>
              <w:bottom w:type="dxa" w:w="50"/>
              <w:right w:type="dxa" w:w="80"/>
            </w:tcMar>
          </w:tcPr>
          <w:p>
            <w:r>
              <w:rPr>
                <w:sz w:val="18"/>
                <w:szCs w:val="18"/>
              </w:rPr>
              <w:t xml:space="preserve">1, 6, 12 and 18 months</w:t>
            </w:r>
          </w:p>
        </w:tc>
      </w:tr>
      <w:tr>
        <w:tc>
          <w:tcPr>
            <w:tcW w:type="dxa" w:w="1750"/>
            <w:tcMar>
              <w:top w:type="dxa" w:w="50"/>
              <w:left w:type="dxa" w:w="80"/>
              <w:bottom w:type="dxa" w:w="50"/>
              <w:right w:type="dxa" w:w="80"/>
            </w:tcMar>
          </w:tcPr>
          <w:p>
            <w:r>
              <w:rPr>
                <w:sz w:val="18"/>
                <w:szCs w:val="18"/>
              </w:rPr>
              <w:t xml:space="preserve">Foot self-care knowledge</w:t>
            </w:r>
          </w:p>
        </w:tc>
        <w:tc>
          <w:tcPr>
            <w:tcW w:type="dxa" w:w="3700"/>
            <w:tcMar>
              <w:top w:type="dxa" w:w="50"/>
              <w:left w:type="dxa" w:w="80"/>
              <w:bottom w:type="dxa" w:w="50"/>
              <w:right w:type="dxa" w:w="80"/>
            </w:tcMar>
          </w:tcPr>
          <w:p>
            <w:r>
              <w:rPr>
                <w:sz w:val="18"/>
                <w:szCs w:val="18"/>
              </w:rPr>
              <w:t xml:space="preserve">Knowledge of diabetic foot self-care.</w:t>
            </w:r>
          </w:p>
        </w:tc>
        <w:tc>
          <w:tcPr>
            <w:tcW w:type="dxa" w:w="1900"/>
            <w:tcMar>
              <w:top w:type="dxa" w:w="50"/>
              <w:left w:type="dxa" w:w="80"/>
              <w:bottom w:type="dxa" w:w="50"/>
              <w:right w:type="dxa" w:w="80"/>
            </w:tcMar>
          </w:tcPr>
          <w:p>
            <w:r>
              <w:rPr>
                <w:sz w:val="18"/>
                <w:szCs w:val="18"/>
              </w:rPr>
              <w:t xml:space="preserve">Nottingham Assessment of Functional Footcare (NAFF), 26 items</w:t>
            </w:r>
          </w:p>
        </w:tc>
        <w:tc>
          <w:tcPr>
            <w:tcW w:type="dxa" w:w="1676"/>
            <w:tcMar>
              <w:top w:type="dxa" w:w="50"/>
              <w:left w:type="dxa" w:w="80"/>
              <w:bottom w:type="dxa" w:w="50"/>
              <w:right w:type="dxa" w:w="80"/>
            </w:tcMar>
          </w:tcPr>
          <w:p>
            <w:r>
              <w:rPr>
                <w:sz w:val="18"/>
                <w:szCs w:val="18"/>
              </w:rPr>
              <w:t xml:space="preserve">Baseline, 3, 9 and 15 months</w:t>
            </w:r>
          </w:p>
        </w:tc>
      </w:tr>
      <w:tr>
        <w:tc>
          <w:tcPr>
            <w:tcW w:type="dxa" w:w="1750"/>
            <w:tcMar>
              <w:top w:type="dxa" w:w="50"/>
              <w:left w:type="dxa" w:w="80"/>
              <w:bottom w:type="dxa" w:w="50"/>
              <w:right w:type="dxa" w:w="80"/>
            </w:tcMar>
          </w:tcPr>
          <w:p>
            <w:r>
              <w:rPr>
                <w:sz w:val="18"/>
                <w:szCs w:val="18"/>
              </w:rPr>
              <w:t xml:space="preserve">Self-reported footwear adherence</w:t>
            </w:r>
          </w:p>
        </w:tc>
        <w:tc>
          <w:tcPr>
            <w:tcW w:type="dxa" w:w="3700"/>
            <w:tcMar>
              <w:top w:type="dxa" w:w="50"/>
              <w:left w:type="dxa" w:w="80"/>
              <w:bottom w:type="dxa" w:w="50"/>
              <w:right w:type="dxa" w:w="80"/>
            </w:tcMar>
          </w:tcPr>
          <w:p>
            <w:r>
              <w:rPr>
                <w:sz w:val="18"/>
                <w:szCs w:val="18"/>
              </w:rPr>
              <w:t xml:space="preserve">Participant-reported adherence, collected in parallel with sensor data to quantify self-report bias.</w:t>
            </w:r>
          </w:p>
        </w:tc>
        <w:tc>
          <w:tcPr>
            <w:tcW w:type="dxa" w:w="1900"/>
            <w:tcMar>
              <w:top w:type="dxa" w:w="50"/>
              <w:left w:type="dxa" w:w="80"/>
              <w:bottom w:type="dxa" w:w="50"/>
              <w:right w:type="dxa" w:w="80"/>
            </w:tcMar>
          </w:tcPr>
          <w:p>
            <w:r>
              <w:rPr>
                <w:sz w:val="18"/>
                <w:szCs w:val="18"/>
              </w:rPr>
              <w:t xml:space="preserve">Visual analogue scale</w:t>
            </w:r>
          </w:p>
        </w:tc>
        <w:tc>
          <w:tcPr>
            <w:tcW w:type="dxa" w:w="1676"/>
            <w:tcMar>
              <w:top w:type="dxa" w:w="50"/>
              <w:left w:type="dxa" w:w="80"/>
              <w:bottom w:type="dxa" w:w="50"/>
              <w:right w:type="dxa" w:w="80"/>
            </w:tcMar>
          </w:tcPr>
          <w:p>
            <w:r>
              <w:rPr>
                <w:sz w:val="18"/>
                <w:szCs w:val="18"/>
              </w:rPr>
              <w:t xml:space="preserve">3, 6, 9, 12, 15 and 18 months</w:t>
            </w:r>
          </w:p>
        </w:tc>
      </w:tr>
      <w:tr>
        <w:tc>
          <w:tcPr>
            <w:tcW w:type="dxa" w:w="1750"/>
            <w:tcMar>
              <w:top w:type="dxa" w:w="50"/>
              <w:left w:type="dxa" w:w="80"/>
              <w:bottom w:type="dxa" w:w="50"/>
              <w:right w:type="dxa" w:w="80"/>
            </w:tcMar>
          </w:tcPr>
          <w:p>
            <w:r>
              <w:rPr>
                <w:sz w:val="18"/>
                <w:szCs w:val="18"/>
              </w:rPr>
              <w:t xml:space="preserve">Health-related quality of life</w:t>
            </w:r>
          </w:p>
        </w:tc>
        <w:tc>
          <w:tcPr>
            <w:tcW w:type="dxa" w:w="3700"/>
            <w:tcMar>
              <w:top w:type="dxa" w:w="50"/>
              <w:left w:type="dxa" w:w="80"/>
              <w:bottom w:type="dxa" w:w="50"/>
              <w:right w:type="dxa" w:w="80"/>
            </w:tcMar>
          </w:tcPr>
          <w:p>
            <w:r>
              <w:rPr>
                <w:sz w:val="18"/>
                <w:szCs w:val="18"/>
              </w:rPr>
              <w:t xml:space="preserve">Utility for QALY derivation.</w:t>
            </w:r>
          </w:p>
        </w:tc>
        <w:tc>
          <w:tcPr>
            <w:tcW w:type="dxa" w:w="1900"/>
            <w:tcMar>
              <w:top w:type="dxa" w:w="50"/>
              <w:left w:type="dxa" w:w="80"/>
              <w:bottom w:type="dxa" w:w="50"/>
              <w:right w:type="dxa" w:w="80"/>
            </w:tcMar>
          </w:tcPr>
          <w:p>
            <w:r>
              <w:rPr>
                <w:sz w:val="18"/>
                <w:szCs w:val="18"/>
              </w:rPr>
              <w:t xml:space="preserve">EQ-5D-5L</w:t>
            </w:r>
          </w:p>
        </w:tc>
        <w:tc>
          <w:tcPr>
            <w:tcW w:type="dxa" w:w="1676"/>
            <w:tcMar>
              <w:top w:type="dxa" w:w="50"/>
              <w:left w:type="dxa" w:w="80"/>
              <w:bottom w:type="dxa" w:w="50"/>
              <w:right w:type="dxa" w:w="80"/>
            </w:tcMar>
          </w:tcPr>
          <w:p>
            <w:r>
              <w:rPr>
                <w:sz w:val="18"/>
                <w:szCs w:val="18"/>
              </w:rPr>
              <w:t xml:space="preserve">Baseline, then every 3 months to 18 months</w:t>
            </w:r>
          </w:p>
        </w:tc>
      </w:tr>
      <w:tr>
        <w:tc>
          <w:tcPr>
            <w:tcW w:type="dxa" w:w="1750"/>
            <w:tcMar>
              <w:top w:type="dxa" w:w="50"/>
              <w:left w:type="dxa" w:w="80"/>
              <w:bottom w:type="dxa" w:w="50"/>
              <w:right w:type="dxa" w:w="80"/>
            </w:tcMar>
          </w:tcPr>
          <w:p>
            <w:r>
              <w:rPr>
                <w:sz w:val="18"/>
                <w:szCs w:val="18"/>
              </w:rPr>
              <w:t xml:space="preserve">Healthcare resource utilisation and costs</w:t>
            </w:r>
          </w:p>
        </w:tc>
        <w:tc>
          <w:tcPr>
            <w:tcW w:type="dxa" w:w="3700"/>
            <w:tcMar>
              <w:top w:type="dxa" w:w="50"/>
              <w:left w:type="dxa" w:w="80"/>
              <w:bottom w:type="dxa" w:w="50"/>
              <w:right w:type="dxa" w:w="80"/>
            </w:tcMar>
          </w:tcPr>
          <w:p>
            <w:r>
              <w:rPr>
                <w:sz w:val="18"/>
                <w:szCs w:val="18"/>
              </w:rPr>
              <w:t xml:space="preserve">Contacts with healthcare professionals, prescribed footwear and orthotic devices, ulcer-related treatments, hospital admissions and other services, summed over 18 months.</w:t>
            </w:r>
          </w:p>
        </w:tc>
        <w:tc>
          <w:tcPr>
            <w:tcW w:type="dxa" w:w="1900"/>
            <w:tcMar>
              <w:top w:type="dxa" w:w="50"/>
              <w:left w:type="dxa" w:w="80"/>
              <w:bottom w:type="dxa" w:w="50"/>
              <w:right w:type="dxa" w:w="80"/>
            </w:tcMar>
          </w:tcPr>
          <w:p>
            <w:r>
              <w:rPr>
                <w:sz w:val="18"/>
                <w:szCs w:val="18"/>
              </w:rPr>
              <w:t xml:space="preserve">iMTA iMCQ and iPCQ; patient diary; medical-record extraction</w:t>
            </w:r>
          </w:p>
        </w:tc>
        <w:tc>
          <w:tcPr>
            <w:tcW w:type="dxa" w:w="1676"/>
            <w:tcMar>
              <w:top w:type="dxa" w:w="50"/>
              <w:left w:type="dxa" w:w="80"/>
              <w:bottom w:type="dxa" w:w="50"/>
              <w:right w:type="dxa" w:w="80"/>
            </w:tcMar>
          </w:tcPr>
          <w:p>
            <w:r>
              <w:rPr>
                <w:sz w:val="18"/>
                <w:szCs w:val="18"/>
              </w:rPr>
              <w:t xml:space="preserve">Every 3 months from 3 months</w:t>
            </w:r>
          </w:p>
        </w:tc>
      </w:tr>
      <w:tr>
        <w:tc>
          <w:tcPr>
            <w:tcW w:type="dxa" w:w="1750"/>
            <w:tcMar>
              <w:top w:type="dxa" w:w="50"/>
              <w:left w:type="dxa" w:w="80"/>
              <w:bottom w:type="dxa" w:w="50"/>
              <w:right w:type="dxa" w:w="80"/>
            </w:tcMar>
          </w:tcPr>
          <w:p>
            <w:r>
              <w:rPr>
                <w:sz w:val="18"/>
                <w:szCs w:val="18"/>
              </w:rPr>
              <w:t xml:space="preserve">Time to ulceration (ulcer subgroup)</w:t>
            </w:r>
          </w:p>
        </w:tc>
        <w:tc>
          <w:tcPr>
            <w:tcW w:type="dxa" w:w="3700"/>
            <w:tcMar>
              <w:top w:type="dxa" w:w="50"/>
              <w:left w:type="dxa" w:w="80"/>
              <w:bottom w:type="dxa" w:w="50"/>
              <w:right w:type="dxa" w:w="80"/>
            </w:tcMar>
          </w:tcPr>
          <w:p>
            <w:r>
              <w:rPr>
                <w:sz w:val="18"/>
                <w:szCs w:val="18"/>
              </w:rPr>
              <w:t xml:space="preserve">Duration until ulceration among participants who ulcerate.</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 severity (ulcer subgroup)</w:t>
            </w:r>
          </w:p>
        </w:tc>
        <w:tc>
          <w:tcPr>
            <w:tcW w:type="dxa" w:w="3700"/>
            <w:tcMar>
              <w:top w:type="dxa" w:w="50"/>
              <w:left w:type="dxa" w:w="80"/>
              <w:bottom w:type="dxa" w:w="50"/>
              <w:right w:type="dxa" w:w="80"/>
            </w:tcMar>
          </w:tcPr>
          <w:p>
            <w:r>
              <w:rPr>
                <w:sz w:val="18"/>
                <w:szCs w:val="18"/>
              </w:rPr>
              <w:t xml:space="preserve">Severity of recurrent ulceration.</w:t>
            </w:r>
          </w:p>
        </w:tc>
        <w:tc>
          <w:tcPr>
            <w:tcW w:type="dxa" w:w="1900"/>
            <w:tcMar>
              <w:top w:type="dxa" w:w="50"/>
              <w:left w:type="dxa" w:w="80"/>
              <w:bottom w:type="dxa" w:w="50"/>
              <w:right w:type="dxa" w:w="80"/>
            </w:tcMar>
          </w:tcPr>
          <w:p>
            <w:r>
              <w:rPr>
                <w:sz w:val="18"/>
                <w:szCs w:val="18"/>
              </w:rPr>
              <w:t xml:space="preserve">PEDIS grading; WIfI classification</w:t>
            </w:r>
          </w:p>
        </w:tc>
        <w:tc>
          <w:tcPr>
            <w:tcW w:type="dxa" w:w="1676"/>
            <w:tcMar>
              <w:top w:type="dxa" w:w="50"/>
              <w:left w:type="dxa" w:w="80"/>
              <w:bottom w:type="dxa" w:w="50"/>
              <w:right w:type="dxa" w:w="80"/>
            </w:tcMar>
          </w:tcPr>
          <w:p>
            <w:r>
              <w:rPr>
                <w:sz w:val="18"/>
                <w:szCs w:val="18"/>
              </w:rPr>
              <w:t xml:space="preserve">All scheduled and unscheduled visits from month 1</w:t>
            </w:r>
          </w:p>
        </w:tc>
      </w:tr>
      <w:tr>
        <w:tc>
          <w:tcPr>
            <w:tcW w:type="dxa" w:w="1750"/>
            <w:tcMar>
              <w:top w:type="dxa" w:w="50"/>
              <w:left w:type="dxa" w:w="80"/>
              <w:bottom w:type="dxa" w:w="50"/>
              <w:right w:type="dxa" w:w="80"/>
            </w:tcMar>
          </w:tcPr>
          <w:p>
            <w:r>
              <w:rPr>
                <w:sz w:val="18"/>
                <w:szCs w:val="18"/>
              </w:rPr>
              <w:t xml:space="preserve">Time to healing (ulcer subgroup)</w:t>
            </w:r>
          </w:p>
        </w:tc>
        <w:tc>
          <w:tcPr>
            <w:tcW w:type="dxa" w:w="3700"/>
            <w:tcMar>
              <w:top w:type="dxa" w:w="50"/>
              <w:left w:type="dxa" w:w="80"/>
              <w:bottom w:type="dxa" w:w="50"/>
              <w:right w:type="dxa" w:w="80"/>
            </w:tcMar>
          </w:tcPr>
          <w:p>
            <w:r>
              <w:rPr>
                <w:sz w:val="18"/>
                <w:szCs w:val="18"/>
              </w:rPr>
              <w:t xml:space="preserve">Time to complete epithelialisation among participants who ulcerate.</w:t>
            </w:r>
          </w:p>
        </w:tc>
        <w:tc>
          <w:tcPr>
            <w:tcW w:type="dxa" w:w="1900"/>
            <w:tcMar>
              <w:top w:type="dxa" w:w="50"/>
              <w:left w:type="dxa" w:w="80"/>
              <w:bottom w:type="dxa" w:w="50"/>
              <w:right w:type="dxa" w:w="80"/>
            </w:tcMar>
          </w:tcPr>
          <w:p>
            <w:r>
              <w:rPr>
                <w:sz w:val="18"/>
                <w:szCs w:val="18"/>
              </w:rPr>
              <w:t xml:space="preserve">Derived from occurrence and epithelialisation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Process-evaluation outcomes</w:t>
            </w:r>
          </w:p>
        </w:tc>
        <w:tc>
          <w:tcPr>
            <w:tcW w:type="dxa" w:w="3700"/>
            <w:tcMar>
              <w:top w:type="dxa" w:w="50"/>
              <w:left w:type="dxa" w:w="80"/>
              <w:bottom w:type="dxa" w:w="50"/>
              <w:right w:type="dxa" w:w="80"/>
            </w:tcMar>
          </w:tcPr>
          <w:p>
            <w:r>
              <w:rPr>
                <w:sz w:val="18"/>
                <w:szCs w:val="18"/>
              </w:rPr>
              <w:t xml:space="preserve">Implementation fidelity, dose, reach, adaptations and quality of delivery; acceptability; contextual factors and mechanisms of impact.</w:t>
            </w:r>
          </w:p>
        </w:tc>
        <w:tc>
          <w:tcPr>
            <w:tcW w:type="dxa" w:w="1900"/>
            <w:tcMar>
              <w:top w:type="dxa" w:w="50"/>
              <w:left w:type="dxa" w:w="80"/>
              <w:bottom w:type="dxa" w:w="50"/>
              <w:right w:type="dxa" w:w="80"/>
            </w:tcMar>
          </w:tcPr>
          <w:p>
            <w:r>
              <w:rPr>
                <w:sz w:val="18"/>
                <w:szCs w:val="18"/>
              </w:rPr>
              <w:t xml:space="preserve">Semi-structured interviews; structured observation; therapist diaries; protocol-deviation forms</w:t>
            </w:r>
          </w:p>
        </w:tc>
        <w:tc>
          <w:tcPr>
            <w:tcW w:type="dxa" w:w="1676"/>
            <w:tcMar>
              <w:top w:type="dxa" w:w="50"/>
              <w:left w:type="dxa" w:w="80"/>
              <w:bottom w:type="dxa" w:w="50"/>
              <w:right w:type="dxa" w:w="80"/>
            </w:tcMar>
          </w:tcPr>
          <w:p>
            <w:r>
              <w:rPr>
                <w:sz w:val="18"/>
                <w:szCs w:val="18"/>
              </w:rPr>
              <w:t xml:space="preserve">Throughout the trial</w:t>
            </w:r>
          </w:p>
        </w:tc>
      </w:tr>
    </w:tbl>
    <w:p>
      <w:pPr>
        <w:spacing w:after="80"/>
      </w:pPr>
    </w:p>
    <w:p>
      <w:pPr>
        <w:pStyle w:val="Heading2"/>
        <w:spacing w:after="120" w:before="260"/>
      </w:pPr>
      <w:r>
        <w:t xml:space="preserve">Table 4. PARADISE (Optimal Care) intervention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1500"/>
        <w:gridCol w:w="1526"/>
      </w:tblGrid>
      <w:tr>
        <w:trPr>
          <w:tblHeader/>
        </w:trPr>
        <w:tc>
          <w:tcPr>
            <w:tcW w:type="dxa" w:w="1900"/>
            <w:shd w:fill="E8EDF2" w:val="clear"/>
            <w:tcMar>
              <w:top w:type="dxa" w:w="60"/>
              <w:left w:type="dxa" w:w="80"/>
              <w:bottom w:type="dxa" w:w="60"/>
              <w:right w:type="dxa" w:w="80"/>
            </w:tcMar>
          </w:tcPr>
          <w:p>
            <w:r>
              <w:rPr>
                <w:b/>
                <w:bCs/>
                <w:sz w:val="18"/>
                <w:szCs w:val="18"/>
              </w:rPr>
              <w:t xml:space="preserve">Component</w:t>
            </w:r>
          </w:p>
        </w:tc>
        <w:tc>
          <w:tcPr>
            <w:tcW w:type="dxa" w:w="4100"/>
            <w:shd w:fill="E8EDF2" w:val="clear"/>
            <w:tcMar>
              <w:top w:type="dxa" w:w="60"/>
              <w:left w:type="dxa" w:w="80"/>
              <w:bottom w:type="dxa" w:w="60"/>
              <w:right w:type="dxa" w:w="80"/>
            </w:tcMar>
          </w:tcPr>
          <w:p>
            <w:r>
              <w:rPr>
                <w:b/>
                <w:bCs/>
                <w:sz w:val="18"/>
                <w:szCs w:val="18"/>
              </w:rPr>
              <w:t xml:space="preserve">Description</w:t>
            </w:r>
          </w:p>
        </w:tc>
        <w:tc>
          <w:tcPr>
            <w:tcW w:type="dxa" w:w="1500"/>
            <w:shd w:fill="E8EDF2" w:val="clear"/>
            <w:tcMar>
              <w:top w:type="dxa" w:w="60"/>
              <w:left w:type="dxa" w:w="80"/>
              <w:bottom w:type="dxa" w:w="60"/>
              <w:right w:type="dxa" w:w="80"/>
            </w:tcMar>
          </w:tcPr>
          <w:p>
            <w:r>
              <w:rPr>
                <w:b/>
                <w:bCs/>
                <w:sz w:val="18"/>
                <w:szCs w:val="18"/>
              </w:rPr>
              <w:t xml:space="preserve">Delivered by</w:t>
            </w:r>
          </w:p>
        </w:tc>
        <w:tc>
          <w:tcPr>
            <w:tcW w:type="dxa" w:w="1526"/>
            <w:shd w:fill="E8EDF2" w:val="clear"/>
            <w:tcMar>
              <w:top w:type="dxa" w:w="60"/>
              <w:left w:type="dxa" w:w="80"/>
              <w:bottom w:type="dxa" w:w="60"/>
              <w:right w:type="dxa" w:w="80"/>
            </w:tcMar>
          </w:tcPr>
          <w:p>
            <w:r>
              <w:rPr>
                <w:b/>
                <w:bCs/>
                <w:sz w:val="18"/>
                <w:szCs w:val="18"/>
              </w:rPr>
              <w:t xml:space="preserve">Timing</w:t>
            </w:r>
          </w:p>
        </w:tc>
      </w:tr>
      <w:tr>
        <w:tc>
          <w:tcPr>
            <w:tcW w:type="dxa" w:w="1900"/>
            <w:tcMar>
              <w:top w:type="dxa" w:w="50"/>
              <w:left w:type="dxa" w:w="80"/>
              <w:bottom w:type="dxa" w:w="50"/>
              <w:right w:type="dxa" w:w="80"/>
            </w:tcMar>
          </w:tcPr>
          <w:p>
            <w:r>
              <w:rPr>
                <w:sz w:val="18"/>
                <w:szCs w:val="18"/>
              </w:rPr>
              <w:t xml:space="preserve">Baseline plantar-pressure measurement</w:t>
            </w:r>
          </w:p>
        </w:tc>
        <w:tc>
          <w:tcPr>
            <w:tcW w:type="dxa" w:w="4100"/>
            <w:tcMar>
              <w:top w:type="dxa" w:w="50"/>
              <w:left w:type="dxa" w:w="80"/>
              <w:bottom w:type="dxa" w:w="50"/>
              <w:right w:type="dxa" w:w="80"/>
            </w:tcMar>
          </w:tcPr>
          <w:p>
            <w:r>
              <w:rPr>
                <w:sz w:val="18"/>
                <w:szCs w:val="18"/>
              </w:rPr>
              <w:t xml:space="preserve">Barefoot and in-shoe plantar pressure (F-Scan GO; ≥12 mid-gait steps per foot, self-selected comfortable speed maintained within 5% at follow-up, standardised thin cotton socks).</w:t>
            </w:r>
          </w:p>
        </w:tc>
        <w:tc>
          <w:tcPr>
            <w:tcW w:type="dxa" w:w="1500"/>
            <w:tcMar>
              <w:top w:type="dxa" w:w="50"/>
              <w:left w:type="dxa" w:w="80"/>
              <w:bottom w:type="dxa" w:w="50"/>
              <w:right w:type="dxa" w:w="80"/>
            </w:tcMar>
          </w:tcPr>
          <w:p>
            <w:r>
              <w:rPr>
                <w:sz w:val="18"/>
                <w:szCs w:val="18"/>
              </w:rPr>
              <w:t xml:space="preserve">Study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CMFO prescription</w:t>
            </w:r>
          </w:p>
        </w:tc>
        <w:tc>
          <w:tcPr>
            <w:tcW w:type="dxa" w:w="4100"/>
            <w:tcMar>
              <w:top w:type="dxa" w:w="50"/>
              <w:left w:type="dxa" w:w="80"/>
              <w:bottom w:type="dxa" w:w="50"/>
              <w:right w:type="dxa" w:w="80"/>
            </w:tcMar>
          </w:tcPr>
          <w:p>
            <w:r>
              <w:rPr>
                <w:sz w:val="18"/>
                <w:szCs w:val="18"/>
              </w:rPr>
              <w:t xml:space="preserve">Prescription of a custom-made foot orthosis: 5 mm total-contact EVA layer; 3–5 mm medial arch support; transmetatarsal bar up to 9 mm; local depth relief; layered closed- over open-cell foam top cover.</w:t>
            </w:r>
          </w:p>
        </w:tc>
        <w:tc>
          <w:tcPr>
            <w:tcW w:type="dxa" w:w="1500"/>
            <w:tcMar>
              <w:top w:type="dxa" w:w="50"/>
              <w:left w:type="dxa" w:w="80"/>
              <w:bottom w:type="dxa" w:w="50"/>
              <w:right w:type="dxa" w:w="80"/>
            </w:tcMar>
          </w:tcPr>
          <w:p>
            <w:r>
              <w:rPr>
                <w:sz w:val="18"/>
                <w:szCs w:val="18"/>
              </w:rPr>
              <w:t xml:space="preserve">Certified pedorthist</w:t>
            </w:r>
          </w:p>
        </w:tc>
        <w:tc>
          <w:tcPr>
            <w:tcW w:type="dxa" w:w="1526"/>
            <w:tcMar>
              <w:top w:type="dxa" w:w="50"/>
              <w:left w:type="dxa" w:w="80"/>
              <w:bottom w:type="dxa" w:w="50"/>
              <w:right w:type="dxa" w:w="80"/>
            </w:tcMar>
          </w:tcPr>
          <w:p>
            <w:r>
              <w:rPr>
                <w:sz w:val="18"/>
                <w:szCs w:val="18"/>
              </w:rPr>
              <w:t xml:space="preserve">1 month</w:t>
            </w:r>
          </w:p>
        </w:tc>
      </w:tr>
      <w:tr>
        <w:tc>
          <w:tcPr>
            <w:tcW w:type="dxa" w:w="1900"/>
            <w:tcMar>
              <w:top w:type="dxa" w:w="50"/>
              <w:left w:type="dxa" w:w="80"/>
              <w:bottom w:type="dxa" w:w="50"/>
              <w:right w:type="dxa" w:w="80"/>
            </w:tcMar>
          </w:tcPr>
          <w:p>
            <w:r>
              <w:rPr>
                <w:sz w:val="18"/>
                <w:szCs w:val="18"/>
              </w:rPr>
              <w:t xml:space="preserve">CMFO delivery and sensor integration</w:t>
            </w:r>
          </w:p>
        </w:tc>
        <w:tc>
          <w:tcPr>
            <w:tcW w:type="dxa" w:w="4100"/>
            <w:tcMar>
              <w:top w:type="dxa" w:w="50"/>
              <w:left w:type="dxa" w:w="80"/>
              <w:bottom w:type="dxa" w:w="50"/>
              <w:right w:type="dxa" w:w="80"/>
            </w:tcMar>
          </w:tcPr>
          <w:p>
            <w:r>
              <w:rPr>
                <w:sz w:val="18"/>
                <w:szCs w:val="18"/>
              </w:rPr>
              <w:t xml:space="preserve">Delivery of the manufactured orthosis; integration of the Orthotimer adherence sensor; iterative pressure-guided adjustment to &lt;200 kPa or ≥25% reduction from baseline.</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1 — education and assessment</w:t>
            </w:r>
          </w:p>
        </w:tc>
        <w:tc>
          <w:tcPr>
            <w:tcW w:type="dxa" w:w="4100"/>
            <w:tcMar>
              <w:top w:type="dxa" w:w="50"/>
              <w:left w:type="dxa" w:w="80"/>
              <w:bottom w:type="dxa" w:w="50"/>
              <w:right w:type="dxa" w:w="80"/>
            </w:tcMar>
          </w:tcPr>
          <w:p>
            <w:r>
              <w:rPr>
                <w:sz w:val="18"/>
                <w:szCs w:val="18"/>
              </w:rPr>
              <w:t xml:space="preserve">Foot-care knowledge (NAFF) and health-literacy assessment; tailored education with written materials, demonstration and supervised practice. Addresses COM-B capability.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SEBIA Step 2 — footwear-wear education</w:t>
            </w:r>
          </w:p>
        </w:tc>
        <w:tc>
          <w:tcPr>
            <w:tcW w:type="dxa" w:w="4100"/>
            <w:tcMar>
              <w:top w:type="dxa" w:w="50"/>
              <w:left w:type="dxa" w:w="80"/>
              <w:bottom w:type="dxa" w:w="50"/>
              <w:right w:type="dxa" w:w="80"/>
            </w:tcMar>
          </w:tcPr>
          <w:p>
            <w:r>
              <w:rPr>
                <w:sz w:val="18"/>
                <w:szCs w:val="18"/>
              </w:rPr>
              <w:t xml:space="preserve">Knowledge retest by teach-back; education on indoor and outdoor footwear use; introduction of sensor-based wear-time monitoring. Addresses capability and opportunity.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3 — adherence self-assessment</w:t>
            </w:r>
          </w:p>
        </w:tc>
        <w:tc>
          <w:tcPr>
            <w:tcW w:type="dxa" w:w="4100"/>
            <w:tcMar>
              <w:top w:type="dxa" w:w="50"/>
              <w:left w:type="dxa" w:w="80"/>
              <w:bottom w:type="dxa" w:w="50"/>
              <w:right w:type="dxa" w:w="80"/>
            </w:tcMar>
          </w:tcPr>
          <w:p>
            <w:r>
              <w:rPr>
                <w:sz w:val="18"/>
                <w:szCs w:val="18"/>
              </w:rPr>
              <w:t xml:space="preserve">Participant self-assessment; collaborative, non-judgemental review of sensor data; barrier identification and problem-solving. Addresses opportunity and motivation.</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6 and 12 months</w:t>
            </w:r>
          </w:p>
        </w:tc>
      </w:tr>
      <w:tr>
        <w:tc>
          <w:tcPr>
            <w:tcW w:type="dxa" w:w="1900"/>
            <w:tcMar>
              <w:top w:type="dxa" w:w="50"/>
              <w:left w:type="dxa" w:w="80"/>
              <w:bottom w:type="dxa" w:w="50"/>
              <w:right w:type="dxa" w:w="80"/>
            </w:tcMar>
          </w:tcPr>
          <w:p>
            <w:r>
              <w:rPr>
                <w:sz w:val="18"/>
                <w:szCs w:val="18"/>
              </w:rPr>
              <w:t xml:space="preserve">SEBIA Step 4 — skills demonstration</w:t>
            </w:r>
          </w:p>
        </w:tc>
        <w:tc>
          <w:tcPr>
            <w:tcW w:type="dxa" w:w="4100"/>
            <w:tcMar>
              <w:top w:type="dxa" w:w="50"/>
              <w:left w:type="dxa" w:w="80"/>
              <w:bottom w:type="dxa" w:w="50"/>
              <w:right w:type="dxa" w:w="80"/>
            </w:tcMar>
          </w:tcPr>
          <w:p>
            <w:r>
              <w:rPr>
                <w:sz w:val="18"/>
                <w:szCs w:val="18"/>
              </w:rPr>
              <w:t xml:space="preserve">Participant demonstrates foot self-care using provided equipment; targeted re-education; sensor printouts reviewed against the preceding visit; support matched to the cause of any shortfall.</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9 and 15 months</w:t>
            </w:r>
          </w:p>
        </w:tc>
      </w:tr>
      <w:tr>
        <w:tc>
          <w:tcPr>
            <w:tcW w:type="dxa" w:w="1900"/>
            <w:tcMar>
              <w:top w:type="dxa" w:w="50"/>
              <w:left w:type="dxa" w:w="80"/>
              <w:bottom w:type="dxa" w:w="50"/>
              <w:right w:type="dxa" w:w="80"/>
            </w:tcMar>
          </w:tcPr>
          <w:p>
            <w:r>
              <w:rPr>
                <w:sz w:val="18"/>
                <w:szCs w:val="18"/>
              </w:rPr>
              <w:t xml:space="preserve">SEBIA Step 5 — final review</w:t>
            </w:r>
          </w:p>
        </w:tc>
        <w:tc>
          <w:tcPr>
            <w:tcW w:type="dxa" w:w="4100"/>
            <w:tcMar>
              <w:top w:type="dxa" w:w="50"/>
              <w:left w:type="dxa" w:w="80"/>
              <w:bottom w:type="dxa" w:w="50"/>
              <w:right w:type="dxa" w:w="80"/>
            </w:tcMar>
          </w:tcPr>
          <w:p>
            <w:r>
              <w:rPr>
                <w:sz w:val="18"/>
                <w:szCs w:val="18"/>
              </w:rPr>
              <w:t xml:space="preserve">Closing foot-care demonstration; adherence results shared; no new intervention content delivered.</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18 months</w:t>
            </w:r>
          </w:p>
        </w:tc>
      </w:tr>
      <w:tr>
        <w:tc>
          <w:tcPr>
            <w:tcW w:type="dxa" w:w="1900"/>
            <w:tcMar>
              <w:top w:type="dxa" w:w="50"/>
              <w:left w:type="dxa" w:w="80"/>
              <w:bottom w:type="dxa" w:w="50"/>
              <w:right w:type="dxa" w:w="80"/>
            </w:tcMar>
          </w:tcPr>
          <w:p>
            <w:r>
              <w:rPr>
                <w:sz w:val="18"/>
                <w:szCs w:val="18"/>
              </w:rPr>
              <w:t xml:space="preserve">Sensor-based adherence monitoring</w:t>
            </w:r>
          </w:p>
        </w:tc>
        <w:tc>
          <w:tcPr>
            <w:tcW w:type="dxa" w:w="4100"/>
            <w:tcMar>
              <w:top w:type="dxa" w:w="50"/>
              <w:left w:type="dxa" w:w="80"/>
              <w:bottom w:type="dxa" w:w="50"/>
              <w:right w:type="dxa" w:w="80"/>
            </w:tcMar>
          </w:tcPr>
          <w:p>
            <w:r>
              <w:rPr>
                <w:sz w:val="18"/>
                <w:szCs w:val="18"/>
              </w:rPr>
              <w:t xml:space="preserve">Continuous wear-time recording (Orthotimer) and physical-activity profiling (MoveMonitor), underpinning the individualised, activity-derived adherence benchmark.</w:t>
            </w:r>
          </w:p>
        </w:tc>
        <w:tc>
          <w:tcPr>
            <w:tcW w:type="dxa" w:w="1500"/>
            <w:tcMar>
              <w:top w:type="dxa" w:w="50"/>
              <w:left w:type="dxa" w:w="80"/>
              <w:bottom w:type="dxa" w:w="50"/>
              <w:right w:type="dxa" w:w="80"/>
            </w:tcMar>
          </w:tcPr>
          <w:p>
            <w:r>
              <w:rPr>
                <w:sz w:val="18"/>
                <w:szCs w:val="18"/>
              </w:rPr>
              <w:t xml:space="preserve">Participant-worn; read out by study team</w:t>
            </w:r>
          </w:p>
        </w:tc>
        <w:tc>
          <w:tcPr>
            <w:tcW w:type="dxa" w:w="1526"/>
            <w:tcMar>
              <w:top w:type="dxa" w:w="50"/>
              <w:left w:type="dxa" w:w="80"/>
              <w:bottom w:type="dxa" w:w="50"/>
              <w:right w:type="dxa" w:w="80"/>
            </w:tcMar>
          </w:tcPr>
          <w:p>
            <w:r>
              <w:rPr>
                <w:sz w:val="18"/>
                <w:szCs w:val="18"/>
              </w:rPr>
              <w:t xml:space="preserve">Continuous; read out at scheduled visits</w:t>
            </w:r>
          </w:p>
        </w:tc>
      </w:tr>
      <w:tr>
        <w:tc>
          <w:tcPr>
            <w:tcW w:type="dxa" w:w="1900"/>
            <w:tcMar>
              <w:top w:type="dxa" w:w="50"/>
              <w:left w:type="dxa" w:w="80"/>
              <w:bottom w:type="dxa" w:w="50"/>
              <w:right w:type="dxa" w:w="80"/>
            </w:tcMar>
          </w:tcPr>
          <w:p>
            <w:r>
              <w:rPr>
                <w:sz w:val="18"/>
                <w:szCs w:val="18"/>
              </w:rPr>
              <w:t xml:space="preserve">CMFO replacement</w:t>
            </w:r>
          </w:p>
        </w:tc>
        <w:tc>
          <w:tcPr>
            <w:tcW w:type="dxa" w:w="4100"/>
            <w:tcMar>
              <w:top w:type="dxa" w:w="50"/>
              <w:left w:type="dxa" w:w="80"/>
              <w:bottom w:type="dxa" w:w="50"/>
              <w:right w:type="dxa" w:w="80"/>
            </w:tcMar>
          </w:tcPr>
          <w:p>
            <w:r>
              <w:rPr>
                <w:sz w:val="18"/>
                <w:szCs w:val="18"/>
              </w:rPr>
              <w:t xml:space="preserve">Replacement of the orthosis with sensor re-integration at scheduled follow-up visits.</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6, 12 and 18 months</w:t>
            </w:r>
          </w:p>
        </w:tc>
      </w:tr>
    </w:tbl>
    <w:sectPr>
      <w:headerReference w:type="default" r:id="rId11"/>
      <w:footerReference w:type="default" r:id="rId12"/>
      <w:pgSz w:w="11906" w:h="16838" w:orient="portrait"/>
      <w:pgMar w:top="1440" w:right="1440" w:bottom="1440" w:left="1440" w:header="708" w:footer="708" w:gutter="0"/>
      <w:lnNumType w:countBy="1" w:restart="continuous" w:distance="4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Un-named</cp:lastModifiedBy>
  <cp:revision>1</cp:revision>
  <dcterms:created xsi:type="dcterms:W3CDTF">2026-07-19T16:31:24.311Z</dcterms:created>
  <dcterms:modified xsi:type="dcterms:W3CDTF">2026-07-19T16:31:24.324Z</dcterms:modified>
</cp:coreProperties>
</file>

<file path=docProps/custom.xml><?xml version="1.0" encoding="utf-8"?>
<Properties xmlns="http://schemas.openxmlformats.org/officeDocument/2006/custom-properties" xmlns:vt="http://schemas.openxmlformats.org/officeDocument/2006/docPropsVTypes"/>
</file>