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eCRF Document 24: Pressure redistribution efficacy of CMFO</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de drie doelregio’s die ontlast moeten worden (op basis van voorgeschiedenis van voetzweer en één of twee andere regio’s met de hoogste piekdruk).</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drie de doelregio’s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