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D8DB0"/>
          <w:sz w:val="16"/>
        </w:rPr>
        <w:t>PARADISE  ·  VRAGENLIJSTEN EN LICENTIES</w:t>
      </w:r>
    </w:p>
    <w:p>
      <w:pPr>
        <w:spacing w:after="40"/>
      </w:pPr>
      <w:r>
        <w:rPr>
          <w:b/>
          <w:color w:val="00407A"/>
          <w:sz w:val="38"/>
        </w:rPr>
        <w:t>De licenties van de vragenlijsten in orde brengen</w:t>
      </w:r>
    </w:p>
    <w:p>
      <w:pPr>
        <w:spacing w:after="160"/>
      </w:pPr>
      <w:r>
        <w:rPr>
          <w:b w:val="0"/>
          <w:color w:val="5A6A78"/>
          <w:sz w:val="18"/>
        </w:rPr>
        <w:t>Stappenplan van 23 september 2026  ·  werkdocument</w:t>
      </w:r>
    </w:p>
    <w:p>
      <w:pPr>
        <w:spacing w:after="120"/>
      </w:pPr>
      <w:r>
        <w:rPr>
          <w:b w:val="0"/>
          <w:color w:val="1B2630"/>
          <w:sz w:val="19"/>
        </w:rPr>
        <w:t>Negen vragenlijsten zitten in de eCRF-set. Vier daarvan zijn eigendom van een derde en mogen niet zonder registratie of toestemming gebruikt worden. Er is op dit moment nergens vastgelegd of die toestemming er is. Twee dingen moeten bovendien rechtgezet worden vóór de eerste patient: de EQ-5D-5L draagt de Nederlandse landversie in plaats van de Belgische, en de iMCQ en iPCQ staan er als de Nederlandse originelen.</w:t>
      </w:r>
    </w:p>
    <w:p>
      <w:pPr>
        <w:spacing w:after="40"/>
      </w:pPr>
      <w:r>
        <w:rPr>
          <w:b w:val="0"/>
          <w:color w:val="5A6A78"/>
          <w:sz w:val="16"/>
        </w:rPr>
        <w:t>Eerste patient: februari 2027. De aanvragen moeten vóór de versie-lock van de eCRF-set vertrekken, niet erna.</w:t>
      </w:r>
    </w:p>
    <w:p>
      <w:pPr>
        <w:spacing w:before="300" w:after="100"/>
      </w:pPr>
      <w:r>
        <w:rPr>
          <w:b/>
          <w:color w:val="FF7A00"/>
          <w:sz w:val="22"/>
        </w:rPr>
        <w:t>1  Waar het nu staat</w:t>
      </w:r>
    </w:p>
    <w:p>
      <w:pPr>
        <w:spacing w:after="100"/>
      </w:pPr>
      <w:r>
        <w:rPr>
          <w:b w:val="0"/>
          <w:color w:val="5A6A78"/>
          <w:sz w:val="17"/>
        </w:rPr>
        <w:t>Per vragenlijst: wie de rechten heeft en wat er moet gebeuren.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Pr>
      <w:tblGrid>
        <w:gridCol w:w="2550"/>
        <w:gridCol w:w="2550"/>
        <w:gridCol w:w="2550"/>
        <w:gridCol w:w="2550"/>
      </w:tblGrid>
      <w:tr>
        <w:tc>
          <w:tcPr>
            <w:tcW w:type="dxa" w:w="680"/>
            <w:shd w:val="clear" w:fill="1D8DB0"/>
          </w:tcPr>
          <w:p>
            <w:pPr>
              <w:spacing w:before="40" w:after="40"/>
            </w:pPr>
            <w:r>
              <w:rPr>
                <w:b/>
                <w:color w:val="FFFFFF"/>
                <w:sz w:val="16"/>
              </w:rPr>
              <w:t>eCRF</w:t>
            </w:r>
          </w:p>
        </w:tc>
        <w:tc>
          <w:tcPr>
            <w:tcW w:type="dxa" w:w="2608"/>
            <w:shd w:val="clear" w:fill="1D8DB0"/>
          </w:tcPr>
          <w:p>
            <w:pPr>
              <w:spacing w:before="40" w:after="40"/>
            </w:pPr>
            <w:r>
              <w:rPr>
                <w:b/>
                <w:color w:val="FFFFFF"/>
                <w:sz w:val="16"/>
              </w:rPr>
              <w:t>INSTRUMENT</w:t>
            </w:r>
          </w:p>
        </w:tc>
        <w:tc>
          <w:tcPr>
            <w:tcW w:type="dxa" w:w="2494"/>
            <w:shd w:val="clear" w:fill="1D8DB0"/>
          </w:tcPr>
          <w:p>
            <w:pPr>
              <w:spacing w:before="40" w:after="40"/>
            </w:pPr>
            <w:r>
              <w:rPr>
                <w:b/>
                <w:color w:val="FFFFFF"/>
                <w:sz w:val="16"/>
              </w:rPr>
              <w:t>RECHTHEBBENDE</w:t>
            </w:r>
          </w:p>
        </w:tc>
        <w:tc>
          <w:tcPr>
            <w:tcW w:type="dxa" w:w="4082"/>
            <w:shd w:val="clear" w:fill="1D8DB0"/>
          </w:tcPr>
          <w:p>
            <w:pPr>
              <w:spacing w:before="40" w:after="40"/>
            </w:pPr>
            <w:r>
              <w:rPr>
                <w:b/>
                <w:color w:val="FFFFFF"/>
                <w:sz w:val="16"/>
              </w:rPr>
              <w:t>WAT ER MOET GEBEUREN</w:t>
            </w:r>
          </w:p>
        </w:tc>
      </w:tr>
      <w:tr>
        <w:tc>
          <w:tcPr>
            <w:tcW w:type="dxa" w:w="680"/>
          </w:tcPr>
          <w:p>
            <w:pPr>
              <w:spacing w:before="40" w:after="40"/>
            </w:pPr>
            <w:r>
              <w:rPr>
                <w:color w:val="1B2630"/>
                <w:sz w:val="17"/>
              </w:rPr>
              <w:t>12</w:t>
            </w:r>
          </w:p>
        </w:tc>
        <w:tc>
          <w:tcPr>
            <w:tcW w:type="dxa" w:w="2608"/>
          </w:tcPr>
          <w:p>
            <w:pPr>
              <w:spacing w:before="40" w:after="40"/>
            </w:pPr>
            <w:r>
              <w:rPr>
                <w:color w:val="1B2630"/>
                <w:sz w:val="17"/>
              </w:rPr>
              <w:t>VAS tevredenheid ulcuspreventie</w:t>
            </w:r>
          </w:p>
        </w:tc>
        <w:tc>
          <w:tcPr>
            <w:tcW w:type="dxa" w:w="2494"/>
          </w:tcPr>
          <w:p>
            <w:pPr>
              <w:spacing w:before="40" w:after="40"/>
            </w:pPr>
            <w:r>
              <w:rPr>
                <w:color w:val="1B2630"/>
                <w:sz w:val="17"/>
              </w:rPr>
              <w:t>eigen instrument</w:t>
            </w:r>
          </w:p>
        </w:tc>
        <w:tc>
          <w:tcPr>
            <w:tcW w:type="dxa" w:w="4082"/>
          </w:tcPr>
          <w:p>
            <w:pPr>
              <w:spacing w:before="40" w:after="40"/>
            </w:pPr>
            <w:r>
              <w:rPr>
                <w:color w:val="1B2630"/>
                <w:sz w:val="17"/>
              </w:rPr>
              <w:t>Niets.</w:t>
            </w:r>
          </w:p>
        </w:tc>
      </w:tr>
      <w:tr>
        <w:tc>
          <w:tcPr>
            <w:tcW w:type="dxa" w:w="680"/>
          </w:tcPr>
          <w:p>
            <w:pPr>
              <w:spacing w:before="40" w:after="40"/>
            </w:pPr>
            <w:r>
              <w:rPr>
                <w:color w:val="1B2630"/>
                <w:sz w:val="17"/>
              </w:rPr>
              <w:t>13</w:t>
            </w:r>
          </w:p>
        </w:tc>
        <w:tc>
          <w:tcPr>
            <w:tcW w:type="dxa" w:w="2608"/>
          </w:tcPr>
          <w:p>
            <w:pPr>
              <w:spacing w:before="40" w:after="40"/>
            </w:pPr>
            <w:r>
              <w:rPr>
                <w:color w:val="1B2630"/>
                <w:sz w:val="17"/>
              </w:rPr>
              <w:t>Gebruik en bruikbaarheid schoeisel</w:t>
            </w:r>
          </w:p>
        </w:tc>
        <w:tc>
          <w:tcPr>
            <w:tcW w:type="dxa" w:w="2494"/>
          </w:tcPr>
          <w:p>
            <w:pPr>
              <w:spacing w:before="40" w:after="40"/>
            </w:pPr>
            <w:r>
              <w:rPr>
                <w:color w:val="1B2630"/>
                <w:sz w:val="17"/>
              </w:rPr>
              <w:t>van Netten e.a. (deel A); Keyworth e.a. (deel B)</w:t>
            </w:r>
          </w:p>
        </w:tc>
        <w:tc>
          <w:tcPr>
            <w:tcW w:type="dxa" w:w="4082"/>
          </w:tcPr>
          <w:p>
            <w:pPr>
              <w:spacing w:before="40" w:after="40"/>
            </w:pPr>
            <w:r>
              <w:rPr>
                <w:color w:val="1B2630"/>
                <w:sz w:val="17"/>
              </w:rPr>
              <w:t>Navragen bij beide auteursgroepen. De bronvermelding staat er al.</w:t>
            </w:r>
          </w:p>
        </w:tc>
      </w:tr>
      <w:tr>
        <w:tc>
          <w:tcPr>
            <w:tcW w:type="dxa" w:w="680"/>
          </w:tcPr>
          <w:p>
            <w:pPr>
              <w:spacing w:before="40" w:after="40"/>
            </w:pPr>
            <w:r>
              <w:rPr>
                <w:color w:val="1B2630"/>
                <w:sz w:val="17"/>
              </w:rPr>
              <w:t>14</w:t>
            </w:r>
          </w:p>
        </w:tc>
        <w:tc>
          <w:tcPr>
            <w:tcW w:type="dxa" w:w="2608"/>
          </w:tcPr>
          <w:p>
            <w:pPr>
              <w:spacing w:before="40" w:after="40"/>
            </w:pPr>
            <w:r>
              <w:rPr>
                <w:color w:val="1B2630"/>
                <w:sz w:val="17"/>
              </w:rPr>
              <w:t>NAFF — kennis voetzorg</w:t>
            </w:r>
          </w:p>
        </w:tc>
        <w:tc>
          <w:tcPr>
            <w:tcW w:type="dxa" w:w="2494"/>
          </w:tcPr>
          <w:p>
            <w:pPr>
              <w:spacing w:before="40" w:after="40"/>
            </w:pPr>
            <w:r>
              <w:rPr>
                <w:color w:val="1B2630"/>
                <w:sz w:val="17"/>
              </w:rPr>
              <w:t>Lincoln e.a., Nottingham</w:t>
            </w:r>
          </w:p>
        </w:tc>
        <w:tc>
          <w:tcPr>
            <w:tcW w:type="dxa" w:w="4082"/>
          </w:tcPr>
          <w:p>
            <w:pPr>
              <w:spacing w:before="40" w:after="40"/>
            </w:pPr>
            <w:r>
              <w:rPr>
                <w:color w:val="1B2630"/>
                <w:sz w:val="17"/>
              </w:rPr>
              <w:t>Toestemming van de auteurs, en nagaan of de Nederlandse vertaling gevalideerd is.</w:t>
            </w:r>
          </w:p>
        </w:tc>
      </w:tr>
      <w:tr>
        <w:tc>
          <w:tcPr>
            <w:tcW w:type="dxa" w:w="680"/>
          </w:tcPr>
          <w:p>
            <w:pPr>
              <w:spacing w:before="40" w:after="40"/>
            </w:pPr>
            <w:r>
              <w:rPr>
                <w:color w:val="1B2630"/>
                <w:sz w:val="17"/>
              </w:rPr>
              <w:t>15</w:t>
            </w:r>
          </w:p>
        </w:tc>
        <w:tc>
          <w:tcPr>
            <w:tcW w:type="dxa" w:w="2608"/>
          </w:tcPr>
          <w:p>
            <w:pPr>
              <w:spacing w:before="40" w:after="40"/>
            </w:pPr>
            <w:r>
              <w:rPr>
                <w:color w:val="1B2630"/>
                <w:sz w:val="17"/>
              </w:rPr>
              <w:t>HLS-EU-Q6 — gezondheidsvaardigheden</w:t>
            </w:r>
          </w:p>
        </w:tc>
        <w:tc>
          <w:tcPr>
            <w:tcW w:type="dxa" w:w="2494"/>
          </w:tcPr>
          <w:p>
            <w:pPr>
              <w:spacing w:before="40" w:after="40"/>
            </w:pPr>
            <w:r>
              <w:rPr>
                <w:color w:val="1B2630"/>
                <w:sz w:val="17"/>
              </w:rPr>
              <w:t>HLS-EU-consortium, verdeeld via ePROVIDE</w:t>
            </w:r>
          </w:p>
        </w:tc>
        <w:tc>
          <w:tcPr>
            <w:tcW w:type="dxa" w:w="4082"/>
          </w:tcPr>
          <w:p>
            <w:pPr>
              <w:spacing w:before="40" w:after="40"/>
            </w:pPr>
            <w:r>
              <w:rPr>
                <w:color w:val="1B2630"/>
                <w:sz w:val="17"/>
              </w:rPr>
              <w:t>Gebruiksvoorwaarden opvragen via ePROVIDE.</w:t>
            </w:r>
          </w:p>
        </w:tc>
      </w:tr>
      <w:tr>
        <w:tc>
          <w:tcPr>
            <w:tcW w:type="dxa" w:w="680"/>
          </w:tcPr>
          <w:p>
            <w:pPr>
              <w:spacing w:before="40" w:after="40"/>
            </w:pPr>
            <w:r>
              <w:rPr>
                <w:color w:val="1B2630"/>
                <w:sz w:val="17"/>
              </w:rPr>
              <w:t>21</w:t>
            </w:r>
          </w:p>
        </w:tc>
        <w:tc>
          <w:tcPr>
            <w:tcW w:type="dxa" w:w="2608"/>
          </w:tcPr>
          <w:p>
            <w:pPr>
              <w:spacing w:before="40" w:after="40"/>
            </w:pPr>
            <w:r>
              <w:rPr>
                <w:color w:val="1B2630"/>
                <w:sz w:val="17"/>
              </w:rPr>
              <w:t>EQ-5D-5L — levenskwaliteit</w:t>
            </w:r>
          </w:p>
        </w:tc>
        <w:tc>
          <w:tcPr>
            <w:tcW w:type="dxa" w:w="2494"/>
          </w:tcPr>
          <w:p>
            <w:pPr>
              <w:spacing w:before="40" w:after="40"/>
            </w:pPr>
            <w:r>
              <w:rPr>
                <w:color w:val="1B2630"/>
                <w:sz w:val="17"/>
              </w:rPr>
              <w:t>EuroQol Foundation</w:t>
            </w:r>
          </w:p>
        </w:tc>
        <w:tc>
          <w:tcPr>
            <w:tcW w:type="dxa" w:w="4082"/>
          </w:tcPr>
          <w:p>
            <w:pPr>
              <w:spacing w:before="40" w:after="40"/>
            </w:pPr>
            <w:r>
              <w:rPr>
                <w:color w:val="1B2630"/>
                <w:sz w:val="17"/>
              </w:rPr>
              <w:t>Registratie is verplicht. En de landversie klopt niet: het formulier draagt Netherlands (Dutch) © 2009.</w:t>
            </w:r>
          </w:p>
        </w:tc>
      </w:tr>
      <w:tr>
        <w:tc>
          <w:tcPr>
            <w:tcW w:type="dxa" w:w="680"/>
          </w:tcPr>
          <w:p>
            <w:pPr>
              <w:spacing w:before="40" w:after="40"/>
            </w:pPr>
            <w:r>
              <w:rPr>
                <w:color w:val="1B2630"/>
                <w:sz w:val="17"/>
              </w:rPr>
              <w:t>26</w:t>
            </w:r>
          </w:p>
        </w:tc>
        <w:tc>
          <w:tcPr>
            <w:tcW w:type="dxa" w:w="2608"/>
          </w:tcPr>
          <w:p>
            <w:pPr>
              <w:spacing w:before="40" w:after="40"/>
            </w:pPr>
            <w:r>
              <w:rPr>
                <w:color w:val="1B2630"/>
                <w:sz w:val="17"/>
              </w:rPr>
              <w:t>Overtuigingen en gewoontes schoeisel</w:t>
            </w:r>
          </w:p>
        </w:tc>
        <w:tc>
          <w:tcPr>
            <w:tcW w:type="dxa" w:w="2494"/>
          </w:tcPr>
          <w:p>
            <w:pPr>
              <w:spacing w:before="40" w:after="40"/>
            </w:pPr>
            <w:r>
              <w:rPr>
                <w:color w:val="1B2630"/>
                <w:sz w:val="17"/>
              </w:rPr>
              <w:t>onbekend</w:t>
            </w:r>
          </w:p>
        </w:tc>
        <w:tc>
          <w:tcPr>
            <w:tcW w:type="dxa" w:w="4082"/>
          </w:tcPr>
          <w:p>
            <w:pPr>
              <w:spacing w:before="40" w:after="40"/>
            </w:pPr>
            <w:r>
              <w:rPr>
                <w:color w:val="1B2630"/>
                <w:sz w:val="17"/>
              </w:rPr>
              <w:t>Herkomst bepalen: eigen werk of afgeleid.</w:t>
            </w:r>
          </w:p>
        </w:tc>
      </w:tr>
      <w:tr>
        <w:tc>
          <w:tcPr>
            <w:tcW w:type="dxa" w:w="680"/>
          </w:tcPr>
          <w:p>
            <w:pPr>
              <w:spacing w:before="40" w:after="40"/>
            </w:pPr>
            <w:r>
              <w:rPr>
                <w:color w:val="1B2630"/>
                <w:sz w:val="17"/>
              </w:rPr>
              <w:t>31</w:t>
            </w:r>
          </w:p>
        </w:tc>
        <w:tc>
          <w:tcPr>
            <w:tcW w:type="dxa" w:w="2608"/>
          </w:tcPr>
          <w:p>
            <w:pPr>
              <w:spacing w:before="40" w:after="40"/>
            </w:pPr>
            <w:r>
              <w:rPr>
                <w:color w:val="1B2630"/>
                <w:sz w:val="17"/>
              </w:rPr>
              <w:t>Bevraging therapietrouw schoeisel</w:t>
            </w:r>
          </w:p>
        </w:tc>
        <w:tc>
          <w:tcPr>
            <w:tcW w:type="dxa" w:w="2494"/>
          </w:tcPr>
          <w:p>
            <w:pPr>
              <w:spacing w:before="40" w:after="40"/>
            </w:pPr>
            <w:r>
              <w:rPr>
                <w:color w:val="1B2630"/>
                <w:sz w:val="17"/>
              </w:rPr>
              <w:t>onbekend</w:t>
            </w:r>
          </w:p>
        </w:tc>
        <w:tc>
          <w:tcPr>
            <w:tcW w:type="dxa" w:w="4082"/>
          </w:tcPr>
          <w:p>
            <w:pPr>
              <w:spacing w:before="40" w:after="40"/>
            </w:pPr>
            <w:r>
              <w:rPr>
                <w:color w:val="1B2630"/>
                <w:sz w:val="17"/>
              </w:rPr>
              <w:t>Herkomst bepalen: eigen werk of afgeleid.</w:t>
            </w:r>
          </w:p>
        </w:tc>
      </w:tr>
      <w:tr>
        <w:tc>
          <w:tcPr>
            <w:tcW w:type="dxa" w:w="680"/>
          </w:tcPr>
          <w:p>
            <w:pPr>
              <w:spacing w:before="40" w:after="40"/>
            </w:pPr>
            <w:r>
              <w:rPr>
                <w:color w:val="1B2630"/>
                <w:sz w:val="17"/>
              </w:rPr>
              <w:t>34</w:t>
            </w:r>
          </w:p>
        </w:tc>
        <w:tc>
          <w:tcPr>
            <w:tcW w:type="dxa" w:w="2608"/>
          </w:tcPr>
          <w:p>
            <w:pPr>
              <w:spacing w:before="40" w:after="40"/>
            </w:pPr>
            <w:r>
              <w:rPr>
                <w:color w:val="1B2630"/>
                <w:sz w:val="17"/>
              </w:rPr>
              <w:t>iMCQ — medische consumptie</w:t>
            </w:r>
          </w:p>
        </w:tc>
        <w:tc>
          <w:tcPr>
            <w:tcW w:type="dxa" w:w="2494"/>
          </w:tcPr>
          <w:p>
            <w:pPr>
              <w:spacing w:before="40" w:after="40"/>
            </w:pPr>
            <w:r>
              <w:rPr>
                <w:color w:val="1B2630"/>
                <w:sz w:val="17"/>
              </w:rPr>
              <w:t>iMTA, Erasmus Rotterdam</w:t>
            </w:r>
          </w:p>
        </w:tc>
        <w:tc>
          <w:tcPr>
            <w:tcW w:type="dxa" w:w="4082"/>
          </w:tcPr>
          <w:p>
            <w:pPr>
              <w:spacing w:before="40" w:after="40"/>
            </w:pPr>
            <w:r>
              <w:rPr>
                <w:color w:val="1B2630"/>
                <w:sz w:val="17"/>
              </w:rPr>
              <w:t>Registratie, plus toestemming voor de Belgische aanpassing.</w:t>
            </w:r>
          </w:p>
        </w:tc>
      </w:tr>
      <w:tr>
        <w:tc>
          <w:tcPr>
            <w:tcW w:type="dxa" w:w="680"/>
          </w:tcPr>
          <w:p>
            <w:pPr>
              <w:spacing w:before="40" w:after="40"/>
            </w:pPr>
            <w:r>
              <w:rPr>
                <w:color w:val="1B2630"/>
                <w:sz w:val="17"/>
              </w:rPr>
              <w:t>35</w:t>
            </w:r>
          </w:p>
        </w:tc>
        <w:tc>
          <w:tcPr>
            <w:tcW w:type="dxa" w:w="2608"/>
          </w:tcPr>
          <w:p>
            <w:pPr>
              <w:spacing w:before="40" w:after="40"/>
            </w:pPr>
            <w:r>
              <w:rPr>
                <w:color w:val="1B2630"/>
                <w:sz w:val="17"/>
              </w:rPr>
              <w:t>iPCQ — productiviteit</w:t>
            </w:r>
          </w:p>
        </w:tc>
        <w:tc>
          <w:tcPr>
            <w:tcW w:type="dxa" w:w="2494"/>
          </w:tcPr>
          <w:p>
            <w:pPr>
              <w:spacing w:before="40" w:after="40"/>
            </w:pPr>
            <w:r>
              <w:rPr>
                <w:color w:val="1B2630"/>
                <w:sz w:val="17"/>
              </w:rPr>
              <w:t>iMTA, Erasmus Rotterdam</w:t>
            </w:r>
          </w:p>
        </w:tc>
        <w:tc>
          <w:tcPr>
            <w:tcW w:type="dxa" w:w="4082"/>
          </w:tcPr>
          <w:p>
            <w:pPr>
              <w:spacing w:before="40" w:after="40"/>
            </w:pPr>
            <w:r>
              <w:rPr>
                <w:color w:val="1B2630"/>
                <w:sz w:val="17"/>
              </w:rPr>
              <w:t>Registratie, plus toestemming voor de Belgische aanpassing.</w:t>
            </w:r>
          </w:p>
        </w:tc>
      </w:tr>
    </w:tbl>
    <w:p>
      <w:pPr>
        <w:spacing w:before="300" w:after="100"/>
      </w:pPr>
      <w:r>
        <w:rPr>
          <w:b/>
          <w:color w:val="FF7A00"/>
          <w:sz w:val="22"/>
        </w:rPr>
        <w:t>2  De volgorde</w:t>
      </w:r>
    </w:p>
    <w:p>
      <w:pPr>
        <w:spacing w:after="100"/>
      </w:pPr>
      <w:r>
        <w:rPr>
          <w:b w:val="0"/>
          <w:color w:val="5A6A78"/>
          <w:sz w:val="17"/>
        </w:rPr>
        <w:t>Acht stappen. De eerste drie hebben doorlooptijd en gaan best deze week weg.</w:t>
      </w:r>
    </w:p>
    <w:p>
      <w:pPr>
        <w:spacing w:after="80"/>
        <w:ind w:left="425" w:hanging="425"/>
      </w:pPr>
      <w:r>
        <w:rPr>
          <w:b/>
          <w:color w:val="FF7A00"/>
          <w:sz w:val="18"/>
        </w:rPr>
        <w:t xml:space="preserve">1.  </w:t>
      </w:r>
      <w:r>
        <w:rPr>
          <w:b/>
          <w:color w:val="1B2630"/>
          <w:sz w:val="18"/>
        </w:rPr>
        <w:t xml:space="preserve">EuroQol registreren en de Belgische versie aanvragen.  </w:t>
      </w:r>
      <w:r>
        <w:rPr>
          <w:b w:val="0"/>
          <w:color w:val="5A6A78"/>
          <w:sz w:val="18"/>
        </w:rPr>
        <w:t>Langste doorlooptijd, en het verandert het formulier. Registreren via registration.euroqol.org. Na goedkeuring is het gratis voor niet-commercieel academisch gebruik. Vraag expliciet de versie Belgium Flemish: EuroQol geeft per land aparte versies uit en eCRF 21 draagt nu de Nederlandse.</w:t>
      </w:r>
    </w:p>
    <w:p>
      <w:pPr>
        <w:spacing w:after="80"/>
        <w:ind w:left="425" w:hanging="425"/>
      </w:pPr>
      <w:r>
        <w:rPr>
          <w:b/>
          <w:color w:val="FF7A00"/>
          <w:sz w:val="18"/>
        </w:rPr>
        <w:t xml:space="preserve">2.  </w:t>
      </w:r>
      <w:r>
        <w:rPr>
          <w:b/>
          <w:color w:val="1B2630"/>
          <w:sz w:val="18"/>
        </w:rPr>
        <w:t xml:space="preserve">De waardeset: al beslist, alleen bevestigen.  </w:t>
      </w:r>
      <w:r>
        <w:rPr>
          <w:b w:val="0"/>
          <w:color w:val="5A6A78"/>
          <w:sz w:val="18"/>
        </w:rPr>
        <w:t>Het manuscript legt de Belgische waardeset al vast voor de QALY-berekening. Dat hoeft dus niet opnieuw beslist te worden; laat Maaike Fobelets en Koen Putman wel bevestigen welke set precies, en leg de verwijzing vast in het analyseplan van oktober. Het versterkt meteen de vraag aan EuroQol: met een Belgische waardeset hoort een Belgische vragenlijstversie.</w:t>
      </w:r>
    </w:p>
    <w:p>
      <w:pPr>
        <w:spacing w:after="80"/>
        <w:ind w:left="425" w:hanging="425"/>
      </w:pPr>
      <w:r>
        <w:rPr>
          <w:b/>
          <w:color w:val="FF7A00"/>
          <w:sz w:val="18"/>
        </w:rPr>
        <w:t xml:space="preserve">3.  </w:t>
      </w:r>
      <w:r>
        <w:rPr>
          <w:b/>
          <w:color w:val="1B2630"/>
          <w:sz w:val="18"/>
        </w:rPr>
        <w:t xml:space="preserve">iMTA: één aanvraag voor iMCQ en iPCQ samen.  </w:t>
      </w:r>
      <w:r>
        <w:rPr>
          <w:b w:val="0"/>
          <w:color w:val="5A6A78"/>
          <w:sz w:val="18"/>
        </w:rPr>
        <w:t>Registratieformulier per vragenlijst op imta.nl, contact questionnaires@imta.eur.nl. Vraag in dezelfde aanvraag toestemming voor de Belgische aanpassing: de iMCQ vraagt nu naar de bedrijfsarts — in België de arbeidsarts — en de zorgcategorieën volgen het Nederlandse stelsel. Gratis voor academisch gebruik.</w:t>
      </w:r>
    </w:p>
    <w:p>
      <w:pPr>
        <w:spacing w:after="80"/>
        <w:ind w:left="425" w:hanging="425"/>
      </w:pPr>
      <w:r>
        <w:rPr>
          <w:b/>
          <w:color w:val="FF7A00"/>
          <w:sz w:val="18"/>
        </w:rPr>
        <w:t xml:space="preserve">4.  </w:t>
      </w:r>
      <w:r>
        <w:rPr>
          <w:b/>
          <w:color w:val="1B2630"/>
          <w:sz w:val="18"/>
        </w:rPr>
        <w:t xml:space="preserve">HLS-EU-Q6: voorwaarden opvragen via ePROVIDE.  </w:t>
      </w:r>
      <w:r>
        <w:rPr>
          <w:b w:val="0"/>
          <w:color w:val="5A6A78"/>
          <w:sz w:val="18"/>
        </w:rPr>
        <w:t>Account aanmaken, het instrument opzoeken en de gebruiksvoorwaarden daar lezen. Vraag meteen of er een Nederlandstalige versie voor België is: de Belgische gezondheidsenquête van 2018 gebruikte de HLS-EU-Q6, dus die bestaat vermoedelijk.</w:t>
      </w:r>
    </w:p>
    <w:p>
      <w:pPr>
        <w:spacing w:after="80"/>
        <w:ind w:left="425" w:hanging="425"/>
      </w:pPr>
      <w:r>
        <w:rPr>
          <w:b/>
          <w:color w:val="FF7A00"/>
          <w:sz w:val="18"/>
        </w:rPr>
        <w:t xml:space="preserve">5.  </w:t>
      </w:r>
      <w:r>
        <w:rPr>
          <w:b/>
          <w:color w:val="1B2630"/>
          <w:sz w:val="18"/>
        </w:rPr>
        <w:t xml:space="preserve">NAFF: toestemming bij de auteurs.  </w:t>
      </w:r>
      <w:r>
        <w:rPr>
          <w:b w:val="0"/>
          <w:color w:val="5A6A78"/>
          <w:sz w:val="18"/>
        </w:rPr>
        <w:t>Geen centrale verdeler, dus rechtstreeks naar de auteursgroep in Nottingham. Vraag twee dingen: toestemming voor gebruik, en of er een gevalideerde Nederlandse vertaling bestaat. eCRF 14 is in het Nederlands — is dat een eigen vertaling, dan hoort de toestemming daar ook over te gaan en hoort het als beperking in het protocol.</w:t>
      </w:r>
    </w:p>
    <w:p>
      <w:pPr>
        <w:spacing w:after="80"/>
        <w:ind w:left="425" w:hanging="425"/>
      </w:pPr>
      <w:r>
        <w:rPr>
          <w:b/>
          <w:color w:val="FF7A00"/>
          <w:sz w:val="18"/>
        </w:rPr>
        <w:t xml:space="preserve">6.  </w:t>
      </w:r>
      <w:r>
        <w:rPr>
          <w:b/>
          <w:color w:val="1B2630"/>
          <w:sz w:val="18"/>
        </w:rPr>
        <w:t xml:space="preserve">eCRF 26 en 31: herkomst bepalen.  </w:t>
      </w:r>
      <w:r>
        <w:rPr>
          <w:b w:val="0"/>
          <w:color w:val="5A6A78"/>
          <w:sz w:val="18"/>
        </w:rPr>
        <w:t>Uit de documenten is niet op te maken of dit eigen werk is of afgeleid van een bestaand instrument. Is het afgeleid, dan gelden dezelfde regels als hierboven.</w:t>
      </w:r>
    </w:p>
    <w:p>
      <w:pPr>
        <w:spacing w:after="80"/>
        <w:ind w:left="425" w:hanging="425"/>
      </w:pPr>
      <w:r>
        <w:rPr>
          <w:b/>
          <w:color w:val="FF7A00"/>
          <w:sz w:val="18"/>
        </w:rPr>
        <w:t xml:space="preserve">7.  </w:t>
      </w:r>
      <w:r>
        <w:rPr>
          <w:b/>
          <w:color w:val="1B2630"/>
          <w:sz w:val="18"/>
        </w:rPr>
        <w:t xml:space="preserve">eCRF 13 navragen.  </w:t>
      </w:r>
      <w:r>
        <w:rPr>
          <w:b w:val="0"/>
          <w:color w:val="5A6A78"/>
          <w:sz w:val="18"/>
        </w:rPr>
        <w:t>Deel A komt van van Netten e.a., deel B van Keyworth e.a. Beide zijn gepubliceerd en de referenties staan op het formulier, maar er is nergens vastgelegd op welke grond ze gebruikt worden.</w:t>
      </w:r>
    </w:p>
    <w:p>
      <w:pPr>
        <w:spacing w:after="80"/>
        <w:ind w:left="425" w:hanging="425"/>
      </w:pPr>
      <w:r>
        <w:rPr>
          <w:b/>
          <w:color w:val="FF7A00"/>
          <w:sz w:val="18"/>
        </w:rPr>
        <w:t xml:space="preserve">8.  </w:t>
      </w:r>
      <w:r>
        <w:rPr>
          <w:b/>
          <w:color w:val="1B2630"/>
          <w:sz w:val="18"/>
        </w:rPr>
        <w:t xml:space="preserve">Pas daarna de set vastzetten.  </w:t>
      </w:r>
      <w:r>
        <w:rPr>
          <w:b w:val="0"/>
          <w:color w:val="5A6A78"/>
          <w:sz w:val="18"/>
        </w:rPr>
        <w:t>Zodra de toestemmingen binnen zijn: de juiste versies inleggen, de eCRF’s in Per nummer, Per protocolnaam en Per visite bijwerken, en REDCap mee. Bewaar elke toestemming en elk referentienummer bij het dossier voor de ethische commissie.</w:t>
      </w:r>
    </w:p>
    <w:p>
      <w:pPr>
        <w:spacing w:before="300" w:after="100"/>
      </w:pPr>
      <w:r>
        <w:rPr>
          <w:b/>
          <w:color w:val="FF7A00"/>
          <w:sz w:val="22"/>
        </w:rPr>
        <w:t>3  Wat ze in elke aanvraag vragen</w:t>
      </w:r>
    </w:p>
    <w:p>
      <w:pPr>
        <w:spacing w:after="100"/>
      </w:pPr>
      <w:r>
        <w:rPr>
          <w:b w:val="0"/>
          <w:color w:val="5A6A78"/>
          <w:sz w:val="17"/>
        </w:rPr>
        <w:t>Vier keer ongeveer hetzelfde. Hou dit blokje klaar, dan kost elke volgende aanvraag vijf minuten.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Pr>
      <w:tblGrid>
        <w:gridCol w:w="5100"/>
        <w:gridCol w:w="5100"/>
      </w:tblGrid>
      <w:tr>
        <w:tc>
          <w:tcPr>
            <w:tcW w:type="dxa" w:w="2268"/>
            <w:shd w:val="clear" w:fill="1D8DB0"/>
          </w:tcPr>
          <w:p>
            <w:pPr>
              <w:spacing w:before="40" w:after="40"/>
            </w:pPr>
            <w:r>
              <w:rPr>
                <w:b/>
                <w:color w:val="FFFFFF"/>
                <w:sz w:val="16"/>
              </w:rPr>
              <w:t>VELD</w:t>
            </w:r>
          </w:p>
        </w:tc>
        <w:tc>
          <w:tcPr>
            <w:tcW w:type="dxa" w:w="7597"/>
            <w:shd w:val="clear" w:fill="1D8DB0"/>
          </w:tcPr>
          <w:p>
            <w:pPr>
              <w:spacing w:before="40" w:after="40"/>
            </w:pPr>
            <w:r>
              <w:rPr>
                <w:b/>
                <w:color w:val="FFFFFF"/>
                <w:sz w:val="16"/>
              </w:rPr>
              <w:t>WAT JE INVULT</w:t>
            </w:r>
          </w:p>
        </w:tc>
      </w:tr>
      <w:tr>
        <w:tc>
          <w:tcPr>
            <w:tcW w:type="dxa" w:w="2268"/>
          </w:tcPr>
          <w:p>
            <w:pPr>
              <w:spacing w:before="40" w:after="40"/>
            </w:pPr>
            <w:r>
              <w:rPr>
                <w:color w:val="1B2630"/>
                <w:sz w:val="17"/>
              </w:rPr>
              <w:t>Studietitel</w:t>
            </w:r>
          </w:p>
        </w:tc>
        <w:tc>
          <w:tcPr>
            <w:tcW w:type="dxa" w:w="7597"/>
          </w:tcPr>
          <w:p>
            <w:pPr>
              <w:spacing w:before="40" w:after="40"/>
            </w:pPr>
            <w:r>
              <w:rPr>
                <w:color w:val="1B2630"/>
                <w:sz w:val="17"/>
              </w:rPr>
              <w:t>Towards Pressure-Adherence &amp; Education Driven Service in Diabetic Foot Disease (PARADISE trial)</w:t>
            </w:r>
          </w:p>
        </w:tc>
      </w:tr>
      <w:tr>
        <w:tc>
          <w:tcPr>
            <w:tcW w:type="dxa" w:w="2268"/>
          </w:tcPr>
          <w:p>
            <w:pPr>
              <w:spacing w:before="40" w:after="40"/>
            </w:pPr>
            <w:r>
              <w:rPr>
                <w:color w:val="1B2630"/>
                <w:sz w:val="17"/>
              </w:rPr>
              <w:t>Protocolnummer</w:t>
            </w:r>
          </w:p>
        </w:tc>
        <w:tc>
          <w:tcPr>
            <w:tcW w:type="dxa" w:w="7597"/>
          </w:tcPr>
          <w:p>
            <w:pPr>
              <w:spacing w:before="40" w:after="40"/>
            </w:pPr>
            <w:r>
              <w:rPr>
                <w:color w:val="1B2630"/>
                <w:sz w:val="17"/>
              </w:rPr>
              <w:t>S71769</w:t>
            </w:r>
          </w:p>
        </w:tc>
      </w:tr>
      <w:tr>
        <w:tc>
          <w:tcPr>
            <w:tcW w:type="dxa" w:w="2268"/>
          </w:tcPr>
          <w:p>
            <w:pPr>
              <w:spacing w:before="40" w:after="40"/>
            </w:pPr>
            <w:r>
              <w:rPr>
                <w:color w:val="1B2630"/>
                <w:sz w:val="17"/>
              </w:rPr>
              <w:t>Sponsor</w:t>
            </w:r>
          </w:p>
        </w:tc>
        <w:tc>
          <w:tcPr>
            <w:tcW w:type="dxa" w:w="7597"/>
          </w:tcPr>
          <w:p>
            <w:pPr>
              <w:spacing w:before="40" w:after="40"/>
            </w:pPr>
            <w:r>
              <w:rPr>
                <w:color w:val="1B2630"/>
                <w:sz w:val="17"/>
              </w:rPr>
              <w:t>KU Leuven</w:t>
            </w:r>
          </w:p>
        </w:tc>
      </w:tr>
      <w:tr>
        <w:tc>
          <w:tcPr>
            <w:tcW w:type="dxa" w:w="2268"/>
          </w:tcPr>
          <w:p>
            <w:pPr>
              <w:spacing w:before="40" w:after="40"/>
            </w:pPr>
            <w:r>
              <w:rPr>
                <w:color w:val="1B2630"/>
                <w:sz w:val="17"/>
              </w:rPr>
              <w:t>Hoofdonderzoeker</w:t>
            </w:r>
          </w:p>
        </w:tc>
        <w:tc>
          <w:tcPr>
            <w:tcW w:type="dxa" w:w="7597"/>
          </w:tcPr>
          <w:p>
            <w:pPr>
              <w:spacing w:before="40" w:after="40"/>
            </w:pPr>
            <w:r>
              <w:rPr>
                <w:color w:val="1B2630"/>
                <w:sz w:val="17"/>
              </w:rPr>
              <w:t>Kevin Deschamps (promotor); Janou De Buyser (coördinerend onderzoeker)</w:t>
            </w:r>
          </w:p>
        </w:tc>
      </w:tr>
      <w:tr>
        <w:tc>
          <w:tcPr>
            <w:tcW w:type="dxa" w:w="2268"/>
          </w:tcPr>
          <w:p>
            <w:pPr>
              <w:spacing w:before="40" w:after="40"/>
            </w:pPr>
            <w:r>
              <w:rPr>
                <w:color w:val="1B2630"/>
                <w:sz w:val="17"/>
              </w:rPr>
              <w:t>Ontwerp</w:t>
            </w:r>
          </w:p>
        </w:tc>
        <w:tc>
          <w:tcPr>
            <w:tcW w:type="dxa" w:w="7597"/>
          </w:tcPr>
          <w:p>
            <w:pPr>
              <w:spacing w:before="40" w:after="40"/>
            </w:pPr>
            <w:r>
              <w:rPr>
                <w:color w:val="1B2630"/>
                <w:sz w:val="17"/>
              </w:rPr>
              <w:t>Fase III gerandomiseerde gecontroleerde studie, parallelle groepen, open-label</w:t>
            </w:r>
          </w:p>
        </w:tc>
      </w:tr>
      <w:tr>
        <w:tc>
          <w:tcPr>
            <w:tcW w:type="dxa" w:w="2268"/>
          </w:tcPr>
          <w:p>
            <w:pPr>
              <w:spacing w:before="40" w:after="40"/>
            </w:pPr>
            <w:r>
              <w:rPr>
                <w:color w:val="1B2630"/>
                <w:sz w:val="17"/>
              </w:rPr>
              <w:t>Aantal deelnemers</w:t>
            </w:r>
          </w:p>
        </w:tc>
        <w:tc>
          <w:tcPr>
            <w:tcW w:type="dxa" w:w="7597"/>
          </w:tcPr>
          <w:p>
            <w:pPr>
              <w:spacing w:before="40" w:after="40"/>
            </w:pPr>
            <w:r>
              <w:rPr>
                <w:color w:val="1B2630"/>
                <w:sz w:val="17"/>
              </w:rPr>
              <w:t>144, verdeeld over zes Belgische voetklinieken</w:t>
            </w:r>
          </w:p>
        </w:tc>
      </w:tr>
      <w:tr>
        <w:tc>
          <w:tcPr>
            <w:tcW w:type="dxa" w:w="2268"/>
          </w:tcPr>
          <w:p>
            <w:pPr>
              <w:spacing w:before="40" w:after="40"/>
            </w:pPr>
            <w:r>
              <w:rPr>
                <w:color w:val="1B2630"/>
                <w:sz w:val="17"/>
              </w:rPr>
              <w:t>Land en taal</w:t>
            </w:r>
          </w:p>
        </w:tc>
        <w:tc>
          <w:tcPr>
            <w:tcW w:type="dxa" w:w="7597"/>
          </w:tcPr>
          <w:p>
            <w:pPr>
              <w:spacing w:before="40" w:after="40"/>
            </w:pPr>
            <w:r>
              <w:rPr>
                <w:color w:val="1B2630"/>
                <w:sz w:val="17"/>
              </w:rPr>
              <w:t>België, Nederlands</w:t>
            </w:r>
          </w:p>
        </w:tc>
      </w:tr>
      <w:tr>
        <w:tc>
          <w:tcPr>
            <w:tcW w:type="dxa" w:w="2268"/>
          </w:tcPr>
          <w:p>
            <w:pPr>
              <w:spacing w:before="40" w:after="40"/>
            </w:pPr>
            <w:r>
              <w:rPr>
                <w:color w:val="1B2630"/>
                <w:sz w:val="17"/>
              </w:rPr>
              <w:t>Looptijd</w:t>
            </w:r>
          </w:p>
        </w:tc>
        <w:tc>
          <w:tcPr>
            <w:tcW w:type="dxa" w:w="7597"/>
          </w:tcPr>
          <w:p>
            <w:pPr>
              <w:spacing w:before="40" w:after="40"/>
            </w:pPr>
            <w:r>
              <w:rPr>
                <w:color w:val="1B2630"/>
                <w:sz w:val="17"/>
              </w:rPr>
              <w:t>eerste patient februari 2027, laatste patient september 2029</w:t>
            </w:r>
          </w:p>
        </w:tc>
      </w:tr>
      <w:tr>
        <w:tc>
          <w:tcPr>
            <w:tcW w:type="dxa" w:w="2268"/>
          </w:tcPr>
          <w:p>
            <w:pPr>
              <w:spacing w:before="40" w:after="40"/>
            </w:pPr>
            <w:r>
              <w:rPr>
                <w:color w:val="1B2630"/>
                <w:sz w:val="17"/>
              </w:rPr>
              <w:t>Financiering</w:t>
            </w:r>
          </w:p>
        </w:tc>
        <w:tc>
          <w:tcPr>
            <w:tcW w:type="dxa" w:w="7597"/>
          </w:tcPr>
          <w:p>
            <w:pPr>
              <w:spacing w:before="40" w:after="40"/>
            </w:pPr>
            <w:r>
              <w:rPr>
                <w:color w:val="1B2630"/>
                <w:sz w:val="17"/>
              </w:rPr>
              <w:t>FWO-TBM T000226N</w:t>
            </w:r>
          </w:p>
        </w:tc>
      </w:tr>
      <w:tr>
        <w:tc>
          <w:tcPr>
            <w:tcW w:type="dxa" w:w="2268"/>
          </w:tcPr>
          <w:p>
            <w:pPr>
              <w:spacing w:before="40" w:after="40"/>
            </w:pPr>
            <w:r>
              <w:rPr>
                <w:color w:val="1B2630"/>
                <w:sz w:val="17"/>
              </w:rPr>
              <w:t>Commercieel</w:t>
            </w:r>
          </w:p>
        </w:tc>
        <w:tc>
          <w:tcPr>
            <w:tcW w:type="dxa" w:w="7597"/>
          </w:tcPr>
          <w:p>
            <w:pPr>
              <w:spacing w:before="40" w:after="40"/>
            </w:pPr>
            <w:r>
              <w:rPr>
                <w:color w:val="1B2630"/>
                <w:sz w:val="17"/>
              </w:rPr>
              <w:t>Neen — academisch, niet-commercieel onderzoek</w:t>
            </w:r>
          </w:p>
        </w:tc>
      </w:tr>
    </w:tbl>
    <w:p>
      <w:pPr>
        <w:spacing w:before="300" w:after="100"/>
      </w:pPr>
      <w:r>
        <w:rPr>
          <w:b/>
          <w:color w:val="FF7A00"/>
          <w:sz w:val="22"/>
        </w:rPr>
        <w:t>4  Waarom dit nu moet en niet in november</w:t>
      </w:r>
    </w:p>
    <w:p>
      <w:pPr>
        <w:spacing w:after="80"/>
      </w:pPr>
      <w:r>
        <w:rPr>
          <w:b w:val="0"/>
          <w:color w:val="1B2630"/>
          <w:sz w:val="18"/>
        </w:rPr>
        <w:t>Het blokkeert de versie-lock. Verandert de EQ-5D-versie, dan verandert eCRF 21, en dan verandert REDCap mee. Dat kan niet meer ná de acceptatietest en de opleidingssessies, want dan train je de centra op een formulier dat daarna nog wijzigt. Hetzelfde geldt voor de Belgische aanpassing van de iMCQ: dat raakt de velden in de databank, niet alleen het papier.</w:t>
      </w:r>
    </w:p>
    <w:p>
      <w:pPr>
        <w:spacing w:after="80"/>
      </w:pPr>
      <w:r>
        <w:rPr>
          <w:b w:val="0"/>
          <w:color w:val="1B2630"/>
          <w:sz w:val="18"/>
        </w:rPr>
        <w:t>En het raakt de analyse. De EQ-5D levert de QALY’s van werkpakket 3, de iMCQ en iPCQ de kosten. Met de verkeerde landversie afnemen kun je achteraf niet herstellen zonder opnieuw te meten.</w:t>
      </w:r>
    </w:p>
    <w:p>
      <w:pPr>
        <w:spacing w:before="240" w:after="0"/>
      </w:pPr>
      <w:r>
        <w:rPr>
          <w:b w:val="0"/>
          <w:color w:val="5A6A78"/>
          <w:sz w:val="15"/>
        </w:rPr>
        <w:t>Bron: eigen controle van de eCRF-set op 23 september 2026. Aanvraagroutes nagekeken bij EuroQol, iMTA en Mapi/ePROVIDE; referenties van eCRF 14 en 15 via Crossref en Semantic Scholar. Er staat op dit moment niets over licenties in PARADISE_BRONNEN.md.</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