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D8DB0"/>
          <w:sz w:val="16"/>
        </w:rPr>
        <w:t>PARADISE  ·  WERKPAKKET 3</w:t>
      </w:r>
    </w:p>
    <w:p>
      <w:pPr>
        <w:spacing w:after="40"/>
      </w:pPr>
      <w:r>
        <w:rPr>
          <w:b/>
          <w:color w:val="00407A"/>
          <w:sz w:val="36"/>
        </w:rPr>
        <w:t>Gezondheidseconomie — overleg Koen Putman</w:t>
      </w:r>
    </w:p>
    <w:p>
      <w:pPr>
        <w:spacing w:after="140"/>
      </w:pPr>
      <w:r>
        <w:rPr>
          <w:b w:val="0"/>
          <w:color w:val="5A6A78"/>
          <w:sz w:val="18"/>
        </w:rPr>
        <w:t>24 september 2026  ·  werkdocument</w:t>
      </w:r>
    </w:p>
    <w:p>
      <w:pPr>
        <w:spacing w:after="100"/>
      </w:pPr>
      <w:r>
        <w:rPr>
          <w:b w:val="0"/>
          <w:color w:val="1B2630"/>
          <w:sz w:val="19"/>
        </w:rPr>
        <w:t>De opzet ligt vast in het manuscript. Wat ontbreekt is de uitvoering: wie rekent, met welke parameters, en welke bron wint waar er twee hetzelfde meten. Dertien vragen, waarvan vier de eCRF’s raken en dus vóór de versie-lock moeten.</w:t>
      </w:r>
    </w:p>
    <w:p>
      <w:pPr>
        <w:spacing w:before="260" w:after="80"/>
      </w:pPr>
      <w:r>
        <w:rPr>
          <w:b/>
          <w:color w:val="FF7A00"/>
          <w:sz w:val="22"/>
        </w:rPr>
        <w:t>1  Vastligt — niet heropenen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</w:tblPr>
      <w:tblGrid>
        <w:gridCol w:w="5100"/>
        <w:gridCol w:w="5100"/>
      </w:tblGrid>
      <w:tr>
        <w:tc>
          <w:tcPr>
            <w:tcW w:type="dxa" w:w="1928"/>
            <w:shd w:val="clear" w:fill="1D8DB0"/>
          </w:tcPr>
          <w:p>
            <w:pPr>
              <w:spacing w:before="20" w:after="20"/>
            </w:pPr>
            <w:r>
              <w:rPr>
                <w:b/>
                <w:color w:val="FFFFFF"/>
                <w:sz w:val="16"/>
              </w:rPr>
              <w:t>ONDERDEEL</w:t>
            </w:r>
          </w:p>
        </w:tc>
        <w:tc>
          <w:tcPr>
            <w:tcW w:type="dxa" w:w="7937"/>
            <w:shd w:val="clear" w:fill="1D8DB0"/>
          </w:tcPr>
          <w:p>
            <w:pPr>
              <w:spacing w:before="20" w:after="20"/>
            </w:pPr>
            <w:r>
              <w:rPr>
                <w:b/>
                <w:color w:val="FFFFFF"/>
                <w:sz w:val="16"/>
              </w:rPr>
              <w:t>ZOALS HET VASTLIGT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Analyse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Kosteneffectiviteit en kostenutiliteit over 18 maanden; ICUR als primair economisch eindpunt.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Perspectief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Betaler in de referentieanalyse, maatschappelijk in gevoeligheidsanalyse.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Waardeset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De Belgische — Bouckaert e.a. 2022.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Onzekerheid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DSA en PSA, 10 000 iteraties, CE-vlak en CEAC. CHEERS voor de rapportering.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Extrapolatie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Markov naar vijf jaar, zes toestanden.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Instrumenten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EQ-5D-5L (21), iMCQ (34), iPCQ (35), dagboeken (45/45a/45b), plus dossierextractie.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Kader</w:t>
            </w:r>
          </w:p>
        </w:tc>
        <w:tc>
          <w:tcPr>
            <w:tcW w:type="dxa" w:w="7937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Terugbetalingsbeslissing. Schoeisel is terugbetaald, de drukmeting niet.</w:t>
            </w:r>
          </w:p>
        </w:tc>
      </w:tr>
    </w:tbl>
    <w:p>
      <w:pPr>
        <w:spacing w:before="260" w:after="80"/>
      </w:pPr>
      <w:r>
        <w:rPr>
          <w:b/>
          <w:color w:val="FF7A00"/>
          <w:sz w:val="22"/>
        </w:rPr>
        <w:t>2  Al uitgezocht — geen overleg nodig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•  </w:t>
      </w:r>
      <w:r>
        <w:rPr>
          <w:b/>
          <w:color w:val="1B2630"/>
          <w:sz w:val="18"/>
        </w:rPr>
        <w:t xml:space="preserve">De iPCQ blijft.  </w:t>
      </w:r>
      <w:r>
        <w:rPr>
          <w:b w:val="0"/>
          <w:color w:val="5A6A78"/>
          <w:sz w:val="18"/>
        </w:rPr>
        <w:t>Beslist.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•  </w:t>
      </w:r>
      <w:r>
        <w:rPr>
          <w:b/>
          <w:color w:val="1B2630"/>
          <w:sz w:val="18"/>
        </w:rPr>
        <w:t xml:space="preserve">Nederlands origineel van iMCQ en iPCQ, ongewijzigd.  </w:t>
      </w:r>
      <w:r>
        <w:rPr>
          <w:b w:val="0"/>
          <w:color w:val="5A6A78"/>
          <w:sz w:val="18"/>
        </w:rPr>
        <w:t>Één item is Nederlands-specifiek (bedrijfsarts, hier bijna altijd nul). De A-sectie dubbelt met eCRF 07 en wordt niet afgenomen — iMTA staat weglaten van irrelevante modules toe. Geen Belgische versie beschikbaar.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•  </w:t>
      </w:r>
      <w:r>
        <w:rPr>
          <w:b/>
          <w:color w:val="1B2630"/>
          <w:sz w:val="18"/>
        </w:rPr>
        <w:t xml:space="preserve">Terugblik blijft vier weken.  </w:t>
      </w:r>
      <w:r>
        <w:rPr>
          <w:b w:val="0"/>
          <w:color w:val="5A6A78"/>
          <w:sz w:val="18"/>
        </w:rPr>
        <w:t>De iMTA-handleiding: langer gaat ten koste van de accuraatheid, en schrijft extrapolatie naar het werkelijke interval voor.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•  </w:t>
      </w:r>
      <w:r>
        <w:rPr>
          <w:b/>
          <w:color w:val="1B2630"/>
          <w:sz w:val="18"/>
        </w:rPr>
        <w:t xml:space="preserve">Telefonisch afnemen mag.  </w:t>
      </w:r>
      <w:r>
        <w:rPr>
          <w:b w:val="0"/>
          <w:color w:val="5A6A78"/>
          <w:sz w:val="18"/>
        </w:rPr>
        <w:t>Beide handleidingen staan mondelinge afname toe. Voor de EQ-5D moet wél de interviewer-administered versie opgevraagd worden — de licentie dekt ze, het bestand moet erbij.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•  </w:t>
      </w:r>
      <w:r>
        <w:rPr>
          <w:b/>
          <w:color w:val="1B2630"/>
          <w:sz w:val="18"/>
        </w:rPr>
        <w:t xml:space="preserve">De verandering-vraag zit al in het dagboek.  </w:t>
      </w:r>
      <w:r>
        <w:rPr>
          <w:b w:val="0"/>
          <w:color w:val="5A6A78"/>
          <w:sz w:val="18"/>
        </w:rPr>
        <w:t>45b vraagt voor medicatie, thuisverpleging en thuiszorg alleen wat veranderde; consultaties, aankopen en opnames worden wel telkens genoteerd. Die grens is juist.</w:t>
      </w:r>
    </w:p>
    <w:p>
      <w:pPr>
        <w:spacing w:before="260" w:after="80"/>
      </w:pPr>
      <w:r>
        <w:rPr>
          <w:b/>
          <w:color w:val="FF7A00"/>
          <w:sz w:val="22"/>
        </w:rPr>
        <w:t>3  Dertien vragen</w:t>
      </w:r>
    </w:p>
    <w:p>
      <w:pPr>
        <w:spacing w:after="80"/>
      </w:pPr>
      <w:r>
        <w:rPr>
          <w:b w:val="0"/>
          <w:color w:val="5A6A78"/>
          <w:sz w:val="17"/>
        </w:rPr>
        <w:t>In de volgorde waarin ik ze zou stellen.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1  </w:t>
      </w:r>
      <w:r>
        <w:rPr>
          <w:b/>
          <w:color w:val="1B2630"/>
          <w:sz w:val="18"/>
        </w:rPr>
        <w:t xml:space="preserve">Wie doet de analyse, en is dat begroot?  </w:t>
      </w:r>
      <w:r>
        <w:rPr>
          <w:b w:val="0"/>
          <w:color w:val="5A6A78"/>
          <w:sz w:val="18"/>
        </w:rPr>
        <w:t>WP3 levert op maand 42. Trial-based analyse, Markov-model en het economische paper — door wie, in welke software, vanaf wanneer? Zonder antwoord landt het bij mij.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2  </w:t>
      </w:r>
      <w:r>
        <w:rPr>
          <w:b/>
          <w:color w:val="1B2630"/>
          <w:sz w:val="18"/>
        </w:rPr>
        <w:t xml:space="preserve">Niets registreert de tijdsbesteding van de interventie.  </w:t>
      </w:r>
      <w:r>
        <w:rPr>
          <w:b/>
          <w:color w:val="1D8DB0"/>
          <w:sz w:val="18"/>
        </w:rPr>
        <w:t xml:space="preserve">[eCRF]  </w:t>
      </w:r>
      <w:r>
        <w:rPr>
          <w:b w:val="0"/>
          <w:color w:val="5A6A78"/>
          <w:sz w:val="18"/>
        </w:rPr>
        <w:t>eCRF 23, waar de drukgestuurde aanpassing gebeurt, heeft geen tijdsveld. eCRF 24 registreert resultaten, niet minuten. eCRF 40 vraagt globale gemiddelden. De interventiekost moet dus uit aannames komen — en dat is het getal waar de terugbetalingsbeslissing op draait.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3  </w:t>
      </w:r>
      <w:r>
        <w:rPr>
          <w:b/>
          <w:color w:val="1B2630"/>
          <w:sz w:val="18"/>
        </w:rPr>
        <w:t xml:space="preserve">De dossierextractie bestaat niet als formulier.  </w:t>
      </w:r>
      <w:r>
        <w:rPr>
          <w:b/>
          <w:color w:val="1D8DB0"/>
          <w:sz w:val="18"/>
        </w:rPr>
        <w:t xml:space="preserve">[eCRF]  </w:t>
      </w:r>
      <w:r>
        <w:rPr>
          <w:b w:val="0"/>
          <w:color w:val="5A6A78"/>
          <w:sz w:val="18"/>
        </w:rPr>
        <w:t>Het manuscript belooft ze. Zes ziekenhuizen, zes dossiersystemen, een verwerkingsgrond per centrum. Welke posten uit het dossier, wie extraheert, dekt het toestemmingsformulier de inzage?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4  </w:t>
      </w:r>
      <w:r>
        <w:rPr>
          <w:b/>
          <w:color w:val="1B2630"/>
          <w:sz w:val="18"/>
        </w:rPr>
        <w:t xml:space="preserve">Welke bron wint bij overlap?  </w:t>
      </w:r>
      <w:r>
        <w:rPr>
          <w:b/>
          <w:color w:val="1D8DB0"/>
          <w:sz w:val="18"/>
        </w:rPr>
        <w:t xml:space="preserve">[eCRF]  </w:t>
      </w:r>
      <w:r>
        <w:rPr>
          <w:b w:val="0"/>
          <w:color w:val="5A6A78"/>
          <w:sz w:val="18"/>
        </w:rPr>
        <w:t>Dagboek, iMCQ en dossier meten hetzelfde, op dezelfde bezoeken. Voorstel: dagboek als ruggengraat, iMCQ voor wat het dagboek mist (spoed, ambulance, mantelzorg, vervoer), dagboek wint bij tegenspraak. En: waarderen met RIZIV-tarieven of met de bedragen die de deelnemer opschrijft?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5  </w:t>
      </w:r>
      <w:r>
        <w:rPr>
          <w:b/>
          <w:color w:val="1B2630"/>
          <w:sz w:val="18"/>
        </w:rPr>
        <w:t xml:space="preserve">Hoort de iMCQ ook op baseline?  </w:t>
      </w:r>
      <w:r>
        <w:rPr>
          <w:b/>
          <w:color w:val="1D8DB0"/>
          <w:sz w:val="18"/>
        </w:rPr>
        <w:t xml:space="preserve">[eCRF]  </w:t>
      </w:r>
      <w:r>
        <w:rPr>
          <w:b w:val="0"/>
          <w:color w:val="5A6A78"/>
          <w:sz w:val="18"/>
        </w:rPr>
        <w:t>Nu start ze op maand 3. Zonder zorggebruik bij aanvang kunnen we niet corrigeren voor onevenwicht tussen de armen.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6  </w:t>
      </w:r>
      <w:r>
        <w:rPr>
          <w:b/>
          <w:color w:val="1B2630"/>
          <w:sz w:val="18"/>
        </w:rPr>
        <w:t xml:space="preserve">Komt er een budgetimpactanalyse?  </w:t>
      </w:r>
      <w:r>
        <w:rPr>
          <w:b w:val="0"/>
          <w:color w:val="5A6A78"/>
          <w:sz w:val="18"/>
        </w:rPr>
        <w:t>Het manuscript noemt er geen. Voor een terugbetalingsdossier vraagt het RIZIV doorgaans een BIA náást de kosteneffectiviteit; KCE 400 behandelt beide.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7  </w:t>
      </w:r>
      <w:r>
        <w:rPr>
          <w:b/>
          <w:color w:val="1B2630"/>
          <w:sz w:val="18"/>
        </w:rPr>
        <w:t xml:space="preserve">De economische evaluatie is niet apart gepowerd. Zeggen we dat?  </w:t>
      </w:r>
      <w:r>
        <w:rPr>
          <w:b w:val="0"/>
          <w:color w:val="5A6A78"/>
          <w:sz w:val="18"/>
        </w:rPr>
        <w:t>De 144 volgen uit het klinische eindpunt en de wervingscapaciteit. Kostendata zijn scheef en variabel. Dat is aanvaardbaar, maar hoort expliciet vermeld.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8  </w:t>
      </w:r>
      <w:r>
        <w:rPr>
          <w:b/>
          <w:color w:val="1B2630"/>
          <w:sz w:val="18"/>
        </w:rPr>
        <w:t xml:space="preserve">Mantelzorg staat op drie formulieren.  </w:t>
      </w:r>
      <w:r>
        <w:rPr>
          <w:b w:val="0"/>
          <w:color w:val="5A6A78"/>
          <w:sz w:val="18"/>
        </w:rPr>
        <w:t>eCRF 07 als ja/nee, iMCQ 19 als werkelijk ontvangen uren, iPCQ 12 als hypothetische vervangingsuren. De laatste twee kunnen dezelfde uren bevatten.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9  </w:t>
      </w:r>
      <w:r>
        <w:rPr>
          <w:b/>
          <w:color w:val="1B2630"/>
          <w:sz w:val="18"/>
        </w:rPr>
        <w:t xml:space="preserve">ICUR gestratificeerd naar therapietrouw?  </w:t>
      </w:r>
      <w:r>
        <w:rPr>
          <w:b w:val="0"/>
          <w:color w:val="5A6A78"/>
          <w:sz w:val="18"/>
        </w:rPr>
        <w:t>Therapietrouw is de vooraf vastgelegde mediator, met een drempel van 80%. Een betaler wil weten wat hij koopt bij reële therapietrouw. Vooraf vastleggen of exploratief?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10  </w:t>
      </w:r>
      <w:r>
        <w:rPr>
          <w:b/>
          <w:color w:val="1B2630"/>
          <w:sz w:val="18"/>
        </w:rPr>
        <w:t xml:space="preserve">Onderzoekskost of routinekost?  </w:t>
      </w:r>
      <w:r>
        <w:rPr>
          <w:b w:val="0"/>
          <w:color w:val="5A6A78"/>
          <w:sz w:val="18"/>
        </w:rPr>
        <w:t>De trialkost bevat zes drukmeetsystemen, opleiding, leercurve en protocolgedreven metingen. Presenteren we ook een gemodelleerde routinekost? En zit het tweede paar CMFO in de interventiekost — als Optimal Care er twee krijgt en Usual Care één, leest een betaler dat als meer zolen.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11  </w:t>
      </w:r>
      <w:r>
        <w:rPr>
          <w:b/>
          <w:color w:val="1B2630"/>
          <w:sz w:val="18"/>
        </w:rPr>
        <w:t xml:space="preserve">Waar komen de utiliteiten per Markov-toestand vandaan?  </w:t>
      </w:r>
      <w:r>
        <w:rPr>
          <w:b w:val="0"/>
          <w:color w:val="5A6A78"/>
          <w:sz w:val="18"/>
        </w:rPr>
        <w:t>In grote amputatie zit nauwelijks persoonstijd, dus die komen uit de literatuur. Trial- en literatuurutiliteiten mengen vertekent. Vooraf vastleggen welke waar vandaan komt.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12  </w:t>
      </w:r>
      <w:r>
        <w:rPr>
          <w:b/>
          <w:color w:val="1B2630"/>
          <w:sz w:val="18"/>
        </w:rPr>
        <w:t xml:space="preserve">Sterfte via AE-melding — betrouwbaar genoeg?  </w:t>
      </w:r>
      <w:r>
        <w:rPr>
          <w:b w:val="0"/>
          <w:color w:val="5A6A78"/>
          <w:sz w:val="18"/>
        </w:rPr>
        <w:t>Sterfte is hier concurrerend risico én Markov-toestand. Voor wie zich terugtrekt is AE-melding zwak, en voor QALY’s is de datum nodig. Welke bron voor de sterftetafels in het vijfjaarsmodel?</w:t>
      </w:r>
    </w:p>
    <w:p>
      <w:pPr>
        <w:spacing w:after="80"/>
        <w:ind w:left="397" w:hanging="397"/>
      </w:pPr>
      <w:r>
        <w:rPr>
          <w:b/>
          <w:color w:val="FF7A00"/>
          <w:sz w:val="18"/>
        </w:rPr>
        <w:t xml:space="preserve">13  </w:t>
      </w:r>
      <w:r>
        <w:rPr>
          <w:b/>
          <w:color w:val="1B2630"/>
          <w:sz w:val="18"/>
        </w:rPr>
        <w:t xml:space="preserve">Wie is eerste auteur van het economische paper?  </w:t>
      </w:r>
      <w:r>
        <w:rPr>
          <w:b w:val="0"/>
          <w:color w:val="5A6A78"/>
          <w:sz w:val="18"/>
        </w:rPr>
        <w:t>MS7 en MS8 vallen op maand 42. Nu vastleggen scheelt later discussie.</w:t>
      </w:r>
    </w:p>
    <w:p>
      <w:pPr>
        <w:spacing w:before="260" w:after="80"/>
      </w:pPr>
      <w:r>
        <w:rPr>
          <w:b/>
          <w:color w:val="FF7A00"/>
          <w:sz w:val="22"/>
        </w:rPr>
        <w:t>4  Manuscript tegenover KCE 400 (derde editie, mei 2025)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</w:tblPr>
      <w:tblGrid>
        <w:gridCol w:w="5100"/>
        <w:gridCol w:w="5100"/>
      </w:tblGrid>
      <w:tr>
        <w:tc>
          <w:tcPr>
            <w:tcW w:type="dxa" w:w="3175"/>
            <w:shd w:val="clear" w:fill="1D8DB0"/>
          </w:tcPr>
          <w:p>
            <w:pPr>
              <w:spacing w:before="20" w:after="20"/>
            </w:pPr>
            <w:r>
              <w:rPr>
                <w:b/>
                <w:color w:val="FFFFFF"/>
                <w:sz w:val="16"/>
              </w:rPr>
              <w:t>WAT ER STAAT</w:t>
            </w:r>
          </w:p>
        </w:tc>
        <w:tc>
          <w:tcPr>
            <w:tcW w:type="dxa" w:w="6690"/>
            <w:shd w:val="clear" w:fill="1D8DB0"/>
          </w:tcPr>
          <w:p>
            <w:pPr>
              <w:spacing w:before="20" w:after="20"/>
            </w:pPr>
            <w:r>
              <w:rPr>
                <w:b/>
                <w:color w:val="FFFFFF"/>
                <w:sz w:val="16"/>
              </w:rPr>
              <w:t>WAT DE RICHTLIJN VRAAGT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Disconto “as specified in the guidance”, zonder getallen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3% kosten, 1,5% effecten. Plus verplichte scenario’s met gelijke voet 0%, 3% en 5% — die staan er niet.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“standard reference prices”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Gevalideerde bron bij naam, plus valuta en prijsjaar (CHEERS). Ontbreekt.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“where no national value set applies…”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Achterhaald — er is een Belgische waardeset. Clausule schrappen.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Markov, zes toestanden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Cyclusduur en half-cycle correctie ontbreken; utiliteiten met bron.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Horizon vijf jaar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Kortere horizonnen als scenario presenteren; motiveren waarom niet levenslang.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Maatschappelijk in gevoeligheidsanalyse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Klopt. Maar het effect op productiviteit moet met harde data aangetoond worden.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“healthcare payer perspective”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Omvat ook het remgeld. De dagboeken vragen dat al.</w:t>
            </w:r>
          </w:p>
        </w:tc>
      </w:tr>
      <w:tr>
        <w:tc>
          <w:tcPr>
            <w:tcW w:type="dxa" w:w="3175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Drempelwaarde</w:t>
            </w:r>
          </w:p>
        </w:tc>
        <w:tc>
          <w:tcPr>
            <w:tcW w:type="dxa" w:w="6690"/>
          </w:tcPr>
          <w:p>
            <w:pPr>
              <w:spacing w:before="20" w:after="20"/>
            </w:pPr>
            <w:r>
              <w:rPr>
                <w:color w:val="1B2630"/>
                <w:sz w:val="17"/>
              </w:rPr>
              <w:t>België heeft er geen. Drempels uit andere landen niet overnemen, aanpassen of indexeren.</w:t>
            </w:r>
          </w:p>
        </w:tc>
      </w:tr>
    </w:tbl>
    <w:p>
      <w:pPr>
        <w:spacing w:before="260" w:after="80"/>
      </w:pPr>
      <w:r>
        <w:rPr>
          <w:b/>
          <w:color w:val="FF7A00"/>
          <w:sz w:val="22"/>
        </w:rPr>
        <w:t>5  Volgorde</w:t>
      </w:r>
    </w:p>
    <w:p>
      <w:pPr>
        <w:spacing w:after="60"/>
      </w:pPr>
      <w:r>
        <w:rPr>
          <w:b w:val="0"/>
          <w:color w:val="1B2630"/>
          <w:sz w:val="18"/>
        </w:rPr>
        <w:t>Vraag 2 tot 5 raken de eCRF’s en de databank. Na de versie-lock is elke wijziging een amendement. De rest hoort in het analyseplan van oktober — samen met twee punten die hier niet als vraag staan: ontbrekende data moeten gézamenlijk voor kosten en QALY’s geïmputeerd worden, en met 24 deelnemers per centrum is de vraag of het centrum als toevallig effect in het kostenmodel hoort.</w:t>
      </w:r>
    </w:p>
    <w:p>
      <w:pPr>
        <w:spacing w:after="60"/>
      </w:pPr>
      <w:r>
        <w:rPr>
          <w:b w:val="0"/>
          <w:color w:val="1B2630"/>
          <w:sz w:val="18"/>
        </w:rPr>
        <w:t>Twee uitvoeringsrisico’s, los van dit overleg: dagboek 45b is één boekje voor vijftien maanden zonder terugvaloptie, en de overzetlast van ~90 kostenregels × 6 maanddelen × 144 deelnemers is nog niet geschat.</w:t>
      </w:r>
    </w:p>
    <w:p>
      <w:pPr>
        <w:spacing w:before="200" w:after="0"/>
      </w:pPr>
      <w:r>
        <w:rPr>
          <w:b w:val="0"/>
          <w:color w:val="5A6A78"/>
          <w:sz w:val="15"/>
        </w:rPr>
        <w:t>Bron: manuscript, eCRF-set en instrument_event_mapping.csv, nagekeken 24 september 2026. KCE-rapport 400, richtlijnen 3, 9, 10, 11, 12, 14 en 16.3. Afnamewijze en terugblik: iMTA-handleidingen iMCQ en iPCQ.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