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1487 velden over 41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en 41 tot 44</w:t>
            </w:r>
          </w:p>
        </w:tc>
        <w:tc>
          <w:tcPr>
            <w:tcW w:type="dxa" w:w="3742"/>
          </w:tcPr>
          <w:p>
            <w:pPr>
              <w:spacing w:before="30" w:after="30" w:line="252" w:lineRule="auto"/>
            </w:pPr>
            <w:r/>
            <w:r>
              <w:rPr>
                <w:rFonts w:ascii="Segoe UI" w:hAnsi="Segoe UI" w:eastAsia="Segoe UI"/>
                <w:b w:val="0"/>
                <w:i w:val="0"/>
                <w:color w:val="1B2630"/>
                <w:sz w:val="15"/>
              </w:rPr>
              <w:t>Interviewgidsen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 Uitzondering: het dagboek van de therapeut (eCRF 40) staat wel in de trialdatabank, op het event Dagboek therapeut.</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in Usual Care en zestien in Optimal Care, eenendertig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t>Maand 6, met drukmeting.</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t>Dagboek therapeut</w:t>
            </w:r>
            <w:r>
              <w:rPr>
                <w:rFonts w:ascii="Segoe UI" w:hAnsi="Segoe UI" w:eastAsia="Segoe UI"/>
                <w:b w:val="0"/>
                <w:i w:val="0"/>
                <w:color w:val="1B2630"/>
                <w:sz w:val="15"/>
              </w:rPr>
            </w:r>
          </w:p>
        </w:tc>
        <w:tc>
          <w:tcPr>
            <w:tcW w:type="dxa" w:w="850"/>
          </w:tcPr>
          <w:p>
            <w:pPr>
              <w:spacing w:before="30" w:after="30" w:line="252" w:lineRule="auto"/>
            </w:pPr>
            <w:r>
              <w:t>—</w:t>
            </w:r>
            <w:r>
              <w:rPr>
                <w:rFonts w:ascii="Segoe UI" w:hAnsi="Segoe UI" w:eastAsia="Segoe UI"/>
                <w:b w:val="0"/>
                <w:i w:val="0"/>
                <w:color w:val="1B2630"/>
                <w:sz w:val="15"/>
              </w:rPr>
            </w:r>
          </w:p>
        </w:tc>
        <w:tc>
          <w:tcPr>
            <w:tcW w:type="dxa" w:w="1134"/>
          </w:tcPr>
          <w:p>
            <w:pPr>
              <w:spacing w:before="30" w:after="30" w:line="252" w:lineRule="auto"/>
            </w:pPr>
            <w:r>
              <w:t>—</w:t>
            </w:r>
            <w:r>
              <w:rPr>
                <w:rFonts w:ascii="Segoe UI" w:hAnsi="Segoe UI" w:eastAsia="Segoe UI"/>
                <w:b w:val="0"/>
                <w:i w:val="0"/>
                <w:color w:val="1B2630"/>
                <w:sz w:val="15"/>
              </w:rPr>
            </w:r>
          </w:p>
        </w:tc>
        <w:tc>
          <w:tcPr>
            <w:tcW w:type="dxa" w:w="907"/>
          </w:tcPr>
          <w:p>
            <w:pPr>
              <w:spacing w:before="30" w:after="30" w:line="252" w:lineRule="auto"/>
            </w:pPr>
            <w:r>
              <w:t>ja</w:t>
            </w:r>
            <w:r>
              <w:rPr>
                <w:rFonts w:ascii="Segoe UI" w:hAnsi="Segoe UI" w:eastAsia="Segoe UI"/>
                <w:b w:val="0"/>
                <w:i w:val="0"/>
                <w:color w:val="1B2630"/>
                <w:sz w:val="15"/>
              </w:rPr>
            </w:r>
          </w:p>
        </w:tc>
        <w:tc>
          <w:tcPr>
            <w:tcW w:type="dxa" w:w="5726"/>
          </w:tcPr>
          <w:p>
            <w:pPr>
              <w:spacing w:before="30" w:after="30" w:line="252" w:lineRule="auto"/>
            </w:pPr>
            <w:r>
              <w:t>Alleen Optimal Care. Gestructureerd dagboek van de therapeut (eCRF 40), niet aan een visite gebonden.</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t>Deviatie</w:t>
            </w:r>
            <w:r>
              <w:rPr>
                <w:rFonts w:ascii="Segoe UI" w:hAnsi="Segoe UI" w:eastAsia="Segoe UI"/>
                <w:b w:val="0"/>
                <w:i w:val="0"/>
                <w:color w:val="1B2630"/>
                <w:sz w:val="15"/>
              </w:rPr>
            </w:r>
          </w:p>
        </w:tc>
        <w:tc>
          <w:tcPr>
            <w:tcW w:type="dxa" w:w="850"/>
          </w:tcPr>
          <w:p>
            <w:pPr>
              <w:spacing w:before="30" w:after="30" w:line="252" w:lineRule="auto"/>
            </w:pPr>
            <w:r>
              <w:t>—</w:t>
            </w:r>
            <w:r>
              <w:rPr>
                <w:rFonts w:ascii="Segoe UI" w:hAnsi="Segoe UI" w:eastAsia="Segoe UI"/>
                <w:b w:val="0"/>
                <w:i w:val="0"/>
                <w:color w:val="1B2630"/>
                <w:sz w:val="15"/>
              </w:rPr>
            </w:r>
          </w:p>
        </w:tc>
        <w:tc>
          <w:tcPr>
            <w:tcW w:type="dxa" w:w="1134"/>
          </w:tcPr>
          <w:p>
            <w:pPr>
              <w:spacing w:before="30" w:after="30" w:line="252" w:lineRule="auto"/>
            </w:pPr>
            <w:r>
              <w:t>—</w:t>
            </w:r>
            <w:r>
              <w:rPr>
                <w:rFonts w:ascii="Segoe UI" w:hAnsi="Segoe UI" w:eastAsia="Segoe UI"/>
                <w:b w:val="0"/>
                <w:i w:val="0"/>
                <w:color w:val="1B2630"/>
                <w:sz w:val="15"/>
              </w:rPr>
            </w:r>
          </w:p>
        </w:tc>
        <w:tc>
          <w:tcPr>
            <w:tcW w:type="dxa" w:w="907"/>
          </w:tcPr>
          <w:p>
            <w:pPr>
              <w:spacing w:before="30" w:after="30" w:line="252" w:lineRule="auto"/>
            </w:pPr>
            <w:r>
              <w:t>ja</w:t>
            </w:r>
            <w:r>
              <w:rPr>
                <w:rFonts w:ascii="Segoe UI" w:hAnsi="Segoe UI" w:eastAsia="Segoe UI"/>
                <w:b w:val="0"/>
                <w:i w:val="0"/>
                <w:color w:val="1B2630"/>
                <w:sz w:val="15"/>
              </w:rPr>
            </w:r>
          </w:p>
        </w:tc>
        <w:tc>
          <w:tcPr>
            <w:tcW w:type="dxa" w:w="5726"/>
          </w:tcPr>
          <w:p>
            <w:pPr>
              <w:spacing w:before="30" w:after="30" w:line="252" w:lineRule="auto"/>
            </w:pPr>
            <w:r>
              <w:t>Ongepland. Eén herhaling per afwijking van het protocol.</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Dagboek therapeut, Ulcus, AE SAE en Deviatie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eenendertig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events voor beide armen: vijftien in Usual Care, zestien in Optimal Care.</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vijf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Repeat Entire Event, in beide armen, en Dagboek therapeut in Optimal Care.</w:t>
      </w:r>
      <w:r>
        <w:rPr>
          <w:rFonts w:ascii="Segoe UI" w:hAnsi="Segoe UI" w:eastAsia="Segoe UI"/>
          <w:b/>
          <w:i w:val="0"/>
          <w:color w:val="1B2630"/>
          <w:sz w:val="19"/>
        </w:rPr>
      </w:r>
      <w:r>
        <w:rPr>
          <w:rFonts w:ascii="Segoe UI" w:hAnsi="Segoe UI" w:eastAsia="Segoe UI"/>
          <w:b w:val="0"/>
          <w:i w:val="0"/>
          <w:color w:val="1B2630"/>
          <w:sz w:val="19"/>
        </w:rPr>
        <w:t xml:space="preserve">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Niets meer: de velden staan er al</w:t>
      </w:r>
    </w:p>
    <w:p>
      <w:pPr>
        <w:spacing w:before="0" w:after="80"/>
      </w:pPr>
      <w:r>
        <w:rPr>
          <w:rFonts w:ascii="Segoe UI" w:hAnsi="Segoe UI" w:eastAsia="Segoe UI"/>
          <w:b w:val="0"/>
          <w:i w:val="0"/>
          <w:color w:val="1B2630"/>
          <w:sz w:val="19"/>
        </w:rPr>
        <w:t>De eenenveertig formulieren zijn volledig gebouwd, samen 1487 velden. De data dictionary die je bij stap 7 importeert bevat dus al de inhoud van elk eCRF; er blijft geen enkel formulier over waar je met de hand velden in moet zetten. Wat je hier nog doet is kijken of de formulieren eruitzien zoals je ze verwacht, en waar nodig de volgorde of een sectiekop bijschaven in de Online Designer.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12 kun je nu in één dag doorlopen; er wacht niets meer op een beslissing. Na de acceptatietest van stap 13 kan het project naar productie.</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Beslist op 30 september 2026: de MoveMonitor dient alleen nog bij de start, om de slaaptijd en dus de waaktijd te bepalen. De meetweek op maand 6 vervalt. eCRF 20 en 27 staan daarom niet meer op visite 4 in de mapping; de drie mappingbestanden zijn aangepast.</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t>e40_dagboek_therapeut</w:t>
            </w:r>
            <w:r>
              <w:rPr>
                <w:rFonts w:ascii="Segoe UI" w:hAnsi="Segoe UI" w:eastAsia="Segoe UI"/>
                <w:b w:val="0"/>
                <w:i w:val="0"/>
                <w:color w:val="1B2630"/>
                <w:sz w:val="15"/>
              </w:rPr>
            </w:r>
          </w:p>
        </w:tc>
        <w:tc>
          <w:tcPr>
            <w:tcW w:type="dxa" w:w="3628"/>
          </w:tcPr>
          <w:p>
            <w:pPr>
              <w:spacing w:before="30" w:after="30" w:line="252" w:lineRule="auto"/>
            </w:pPr>
            <w:r>
              <w:t>Alleen Optimal Care, event Dagboek therapeut.</w:t>
            </w:r>
            <w:r>
              <w:rPr>
                <w:rFonts w:ascii="Segoe UI" w:hAnsi="Segoe UI" w:eastAsia="Segoe UI"/>
                <w:b w:val="0"/>
                <w:i w:val="0"/>
                <w:color w:val="1B2630"/>
                <w:sz w:val="15"/>
              </w:rPr>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Daarbovenop zijn de veldeigenschappen zelf vier keer nagelopen: matrixregels, keuzecodes, rekenformules, branching per veld-waardepaar, minima en maxima, en de dekking van elk papieren item. Alle vier de controles geven nul fouten. 1487 velden, 41 formulieren, 31 events, 206 rijen in de mapping.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