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 w:eastAsia="Segoe UI"/>
          <w:b/>
          <w:i w:val="0"/>
          <w:color w:val="1D8DB0"/>
          <w:sz w:val="16"/>
        </w:rPr>
        <w:t>PARADISE — S71769</w:t>
      </w:r>
    </w:p>
    <w:p>
      <w:pPr>
        <w:spacing w:before="0" w:after="40"/>
      </w:pPr>
      <w:r>
        <w:rPr>
          <w:rFonts w:ascii="Segoe UI" w:hAnsi="Segoe UI" w:eastAsia="Segoe UI"/>
          <w:b/>
          <w:i w:val="0"/>
          <w:color w:val="00407A"/>
          <w:sz w:val="38"/>
        </w:rPr>
        <w:t>REDCap in één oogopslag</w:t>
      </w:r>
    </w:p>
    <w:p>
      <w:pPr>
        <w:spacing w:before="0" w:after="200"/>
      </w:pPr>
      <w:r>
        <w:rPr>
          <w:rFonts w:ascii="Segoe UI" w:hAnsi="Segoe UI" w:eastAsia="Segoe UI"/>
          <w:b w:val="0"/>
          <w:i w:val="0"/>
          <w:color w:val="5A6A78"/>
          <w:sz w:val="17"/>
        </w:rPr>
        <w:t>Welk formulier verschijnt op welk bezoek, en in welke arm. 41 formulieren, 1487 velden, 31 events, 206 mappingregels. Bijgewerkt op 29 september 2026.</w:t>
      </w:r>
    </w:p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1  </w:t>
      </w:r>
      <w:r>
        <w:rPr>
          <w:rFonts w:ascii="Segoe UI" w:hAnsi="Segoe UI" w:eastAsia="Segoe UI"/>
          <w:b/>
          <w:i w:val="0"/>
          <w:color w:val="00407A"/>
          <w:sz w:val="22"/>
        </w:rPr>
        <w:t>De matrix</w:t>
      </w:r>
    </w:p>
    <w:p>
      <w:pPr>
        <w:spacing w:before="0" w:after="80"/>
      </w:pPr>
      <w:r>
        <w:rPr>
          <w:rFonts w:ascii="Segoe UI" w:hAnsi="Segoe UI" w:eastAsia="Segoe UI"/>
          <w:b/>
          <w:i w:val="0"/>
          <w:color w:val="5A6A78"/>
          <w:sz w:val="16"/>
        </w:rPr>
        <w:t>●</w:t>
      </w:r>
      <w:r>
        <w:rPr>
          <w:rFonts w:ascii="Segoe UI" w:hAnsi="Segoe UI" w:eastAsia="Segoe UI"/>
          <w:b w:val="0"/>
          <w:i w:val="0"/>
          <w:color w:val="5A6A78"/>
          <w:sz w:val="16"/>
        </w:rPr>
        <w:t xml:space="preserve"> in beide armen   ·   </w:t>
      </w:r>
      <w:r>
        <w:rPr>
          <w:rFonts w:ascii="Segoe UI" w:hAnsi="Segoe UI" w:eastAsia="Segoe UI"/>
          <w:b/>
          <w:i w:val="0"/>
          <w:color w:val="5A6A78"/>
          <w:sz w:val="16"/>
        </w:rPr>
        <w:t>U</w:t>
      </w:r>
      <w:r>
        <w:rPr>
          <w:rFonts w:ascii="Segoe UI" w:hAnsi="Segoe UI" w:eastAsia="Segoe UI"/>
          <w:b w:val="0"/>
          <w:i w:val="0"/>
          <w:color w:val="5A6A78"/>
          <w:sz w:val="16"/>
        </w:rPr>
        <w:t xml:space="preserve"> alleen Usual Care   ·   </w:t>
      </w:r>
      <w:r>
        <w:rPr>
          <w:rFonts w:ascii="Segoe UI" w:hAnsi="Segoe UI" w:eastAsia="Segoe UI"/>
          <w:b/>
          <w:i w:val="0"/>
          <w:color w:val="5A6A78"/>
          <w:sz w:val="16"/>
        </w:rPr>
        <w:t>O</w:t>
      </w:r>
      <w:r>
        <w:rPr>
          <w:rFonts w:ascii="Segoe UI" w:hAnsi="Segoe UI" w:eastAsia="Segoe UI"/>
          <w:b w:val="0"/>
          <w:i w:val="0"/>
          <w:color w:val="5A6A78"/>
          <w:sz w:val="16"/>
        </w:rPr>
        <w:t xml:space="preserve"> alleen Optimal Care   ·   leeg = niet op dat bezoek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</w:tblGrid>
      <w:tr>
        <w:tc>
          <w:tcPr>
            <w:tcW w:type="dxa" w:w="3175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Formulier</w:t>
            </w:r>
          </w:p>
        </w:tc>
        <w:tc>
          <w:tcPr>
            <w:tcW w:type="dxa" w:w="5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Velden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Screening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0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1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2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3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4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5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6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7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8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Dagboek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Dagboek therapeut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Ulcus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AE SAE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Deviatie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Einde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e01_screening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23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eligibility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8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demographics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4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visit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randomization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concomitant_therapy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17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ae_sae_form_imd_within_ce_label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53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device_deficiency_dd_form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34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deviation_serious_breach_log_capa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36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end_of_trial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5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e07_med_voorgeschiedenis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69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e08_voet_schoeisel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32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e09_drukmeting_baseline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45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e10_voorschrift_cmfo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25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e12_vas_tevredenheid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e13_gebruik_schoeisel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34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e14_naff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e15_hls_eu_6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e18_logboek_educatie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83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e20_udi_movemonitor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10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e21_eq5d5l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10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e23_aanpassing_cmfo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e24_drukmeting_uc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46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U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U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U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U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e24_drukherverdeling_oc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73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e25_udi_orthotimer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14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e26_overtuigingen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15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e27_udi_movemonitor_retour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e28_activiteitenprofiel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e29_teach_back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24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e31_therapietrouw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12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e32_feedback_therapietrouw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14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e33_vervanging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27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e34_imcq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118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e35_ipcq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24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e36_pedis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25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e38_wifi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22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e40_dagboek_therapeut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38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e45_dagboek_baseline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199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e45a_dagboek_2wk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45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e45b_dagboek_3mnd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172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e47_ulcus_vervolg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</w:tbl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2  </w:t>
      </w:r>
      <w:r>
        <w:rPr>
          <w:rFonts w:ascii="Segoe UI" w:hAnsi="Segoe UI" w:eastAsia="Segoe UI"/>
          <w:b/>
          <w:i w:val="0"/>
          <w:color w:val="00407A"/>
          <w:sz w:val="22"/>
        </w:rPr>
        <w:t>Wat de armen onderscheidt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5083"/>
        <w:gridCol w:w="5083"/>
        <w:gridCol w:w="5083"/>
      </w:tblGrid>
      <w:tr>
        <w:tc>
          <w:tcPr>
            <w:tcW w:type="dxa" w:w="3969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Formulier</w:t>
            </w:r>
          </w:p>
        </w:tc>
        <w:tc>
          <w:tcPr>
            <w:tcW w:type="dxa" w:w="2551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Arm</w:t>
            </w:r>
          </w:p>
        </w:tc>
        <w:tc>
          <w:tcPr>
            <w:tcW w:type="dxa" w:w="8731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Op welke events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e18_logboek_educatie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visite_1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e24_drukmeting_uc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Usual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visite_2, visite_4, visite_6, visite_8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e24_drukherverdeling_oc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visite_2, visite_4, visite_6, visite_8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e28_activiteitenprofiel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e29_teach_back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e32_feedback_therapietrouw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visite_3, visite_4, visite_5, visite_6, visite_7, visite_8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e40_dagboek_therapeut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dagboek_therapeut</w:t>
            </w:r>
          </w:p>
        </w:tc>
      </w:tr>
    </w:tbl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3  </w:t>
      </w:r>
      <w:r>
        <w:rPr>
          <w:rFonts w:ascii="Segoe UI" w:hAnsi="Segoe UI" w:eastAsia="Segoe UI"/>
          <w:b/>
          <w:i w:val="0"/>
          <w:color w:val="00407A"/>
          <w:sz w:val="22"/>
        </w:rPr>
        <w:t>Kengetallen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5083"/>
        <w:gridCol w:w="5083"/>
        <w:gridCol w:w="5083"/>
      </w:tblGrid>
      <w:tr>
        <w:tc>
          <w:tcPr>
            <w:tcW w:type="dxa" w:w="3175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Onderdeel</w:t>
            </w:r>
          </w:p>
        </w:tc>
        <w:tc>
          <w:tcPr>
            <w:tcW w:type="dxa" w:w="5102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Aantal</w:t>
            </w:r>
          </w:p>
        </w:tc>
        <w:tc>
          <w:tcPr>
            <w:tcW w:type="dxa" w:w="6973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Bestand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Formulieren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41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data_dictionary_PARADISE.csv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Velden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1487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data_dictionary_PARADISE.csv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Events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31, over twee armen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events_import.csv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Mappingregels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206 (Usual Care 98, Optimal Care 108)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instrument_event_mapping.csv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Toegangsgroepen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6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dag_overzicht.csv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Herhalende events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5: Dagboek, Dagboek therapeut (alleen Optimal Care), Ulcus, AE SAE, Deviatie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events_import.csv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Herhalend instrument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1: concomitant_therapy, op Visite 1 tot 8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—</w:t>
            </w:r>
          </w:p>
        </w:tc>
      </w:tr>
    </w:tbl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4  </w:t>
      </w:r>
      <w:r>
        <w:rPr>
          <w:rFonts w:ascii="Segoe UI" w:hAnsi="Segoe UI" w:eastAsia="Segoe UI"/>
          <w:b/>
          <w:i w:val="0"/>
          <w:color w:val="00407A"/>
          <w:sz w:val="22"/>
        </w:rPr>
        <w:t>Waar je dit in REDCap terugvindt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5083"/>
        <w:gridCol w:w="5083"/>
        <w:gridCol w:w="5083"/>
      </w:tblGrid>
      <w:tr>
        <w:tc>
          <w:tcPr>
            <w:tcW w:type="dxa" w:w="3685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Wat je wil zien</w:t>
            </w:r>
          </w:p>
        </w:tc>
        <w:tc>
          <w:tcPr>
            <w:tcW w:type="dxa" w:w="5329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Waar</w:t>
            </w:r>
          </w:p>
        </w:tc>
        <w:tc>
          <w:tcPr>
            <w:tcW w:type="dxa" w:w="6236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Let op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Deze matrix, maar dan live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Designate Instruments for My Events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Zelfde tabblad waar de mapping geüpload wordt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De events en hun volgorde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Define My Events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Andere uploadknop dan de mapping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 velden met hun codes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Codebook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Print dit voor de monitor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Wat er per deelnemer openstaat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Record Status Dashboard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Kleurt per event en formulier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Herhalende events en instrumenten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Repeatable instruments and events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concomitant_therapy kan pas na de dictionary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Toegangsgroepen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User Rights → Data Access Groups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Het studieteam zit in géén groep</w:t>
            </w:r>
          </w:p>
        </w:tc>
      </w:tr>
    </w:tbl>
    <w:sectPr w:rsidR="00FC693F" w:rsidRPr="0006063C" w:rsidSect="00034616">
      <w:pgSz w:w="16838" w:h="11906"/>
      <w:pgMar w:top="794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76" w:lineRule="auto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