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pPr>
        <w:pStyle w:val="Kop1"/>
      </w:pPr>
      <w:r>
        <w:t>Glossary of Roles</w:t>
      </w:r>
    </w:p>
    <w:p>
      <w:pPr/>
      <w:r>
        <w:t>For clarity, the following roles are used consistently throughout this protocol:</w:t>
      </w:r>
    </w:p>
    <w:p>
      <w:pPr/>
      <w:r>
        <w:rPr>
          <w:b/>
        </w:rPr>
        <w:t xml:space="preserve">Sponsor: </w:t>
      </w:r>
      <w:r>
        <w:t>KU Leuven, the legal entity responsible for the initiation and management of the study.</w:t>
      </w:r>
    </w:p>
    <w:p>
      <w:pPr/>
      <w:r>
        <w:rPr>
          <w:b/>
        </w:rPr>
        <w:t xml:space="preserve">Coordinating Investigator (CI): </w:t>
      </w:r>
      <w:r>
        <w:t>Prof. Kevin Deschamps. Responsible for supervising the general conduct of the study across all participating sites (study progress, communication, protocol training and support of participating sites, annual reporting to the Ethics Committee).</w:t>
      </w:r>
    </w:p>
    <w:p>
      <w:pPr/>
      <w:r>
        <w:rPr>
          <w:b/>
        </w:rPr>
        <w:t xml:space="preserve">Principal Investigator (PI): </w:t>
      </w:r>
      <w:r>
        <w:t>The lead investigator at each participating Diabetic Foot Clinic (DFC), responsible for the conduct of the study at that site and for protecting the rights, safety and well-being of participants at that site.</w:t>
      </w:r>
    </w:p>
    <w:p>
      <w:pPr/>
      <w:r>
        <w:rPr>
          <w:b/>
        </w:rPr>
        <w:t xml:space="preserve">Investigator: </w:t>
      </w:r>
      <w:r>
        <w:t>Collective term referring to both the PI and the CI (“PI and CI shall each be referred to as ‘Investigator(s)’”, §5.1).</w:t>
      </w:r>
    </w:p>
    <w:p>
      <w:pPr/>
      <w:r>
        <w:rPr>
          <w:b/>
        </w:rPr>
        <w:t xml:space="preserve">PARADISE therapist: </w:t>
      </w:r>
      <w:r>
        <w:t>A healthcare professional delivering the PARADISE intervention at a participating DFC — in practice, a podiatrist, nurse, pedorthist, or physician who is a pre-designated site staff member (eCRF-Document 03/04).</w:t>
      </w:r>
    </w:p>
    <w:p>
      <w:pPr/>
      <w:r>
        <w:rPr>
          <w:b/>
        </w:rPr>
        <w:t xml:space="preserve">Podiatrist: </w:t>
      </w:r>
      <w:r>
        <w:t>Site staff member responsible for foot and footwear screening, education, and adherence follow-up.</w:t>
      </w:r>
    </w:p>
    <w:p>
      <w:pPr/>
      <w:r>
        <w:rPr>
          <w:b/>
        </w:rPr>
        <w:t xml:space="preserve">Pedorthist: </w:t>
      </w:r>
      <w:r>
        <w:t>Certified professional responsible for manufacturing and fitting the custom-made foot orthosis (CMFO).</w:t>
      </w:r>
    </w:p>
    <w:p>
      <w:pPr/>
      <w:r>
        <w:rPr>
          <w:b/>
        </w:rPr>
        <w:t xml:space="preserve">Physician / treating physician / diabetologist: </w:t>
      </w:r>
      <w:r>
        <w:t>Medical doctor at the participating site (e.g. diabetologist, vascular surgeon) responsible for medical evaluation, safety oversight, and clinical decision-making.</w:t>
      </w:r>
    </w:p>
    <w:p>
      <w:pPr/>
      <w:r>
        <w:rPr>
          <w:b/>
        </w:rPr>
        <w:t xml:space="preserve">Footwear technician: </w:t>
      </w:r>
      <w:r>
        <w:t>Site staff member involved in the technical aspects of footwear fitting and adjustment.</w:t>
      </w:r>
    </w:p>
    <w:p>
      <w:pPr/>
      <w:r>
        <w:rPr>
          <w:b/>
        </w:rPr>
        <w:t xml:space="preserve">Care pathway lead: </w:t>
      </w:r>
      <w:r>
        <w:t>Local staff member at each participating site responsible for the organisational implementation of the PARADISE care pathway; considered, together with the site PI, an organisational stakeholder in the process evaluation (§5.6/§7.1).</w:t>
      </w:r>
    </w:p>
    <w:p>
      <w:pPr/>
      <w:r>
        <w:rPr>
          <w:b/>
        </w:rPr>
        <w:t xml:space="preserve">Research team / study team: </w:t>
      </w:r>
      <w:r>
        <w:t>The PARADISE research staff (including the PhD students, see below) responsible for F-Scan GO measurements, data collection, and overall trial coordination — distinct from site personnel who deliver routine clinical care.</w:t>
      </w:r>
    </w:p>
    <w:p>
      <w:pPr/>
      <w:r>
        <w:rPr>
          <w:b/>
        </w:rPr>
        <w:t xml:space="preserve">PhD student: </w:t>
      </w:r>
      <w:r>
        <w:t>One of the two doctoral researchers supporting trial conduct, recruitment, and data collection as part of the research team (§4.2, §5.2.2).</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37</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eCRF-Document 47: Ulcus-vervolgformulier), occurrence of infection (classified using PEDIS/WIfI; eCRF-Document 36/38), and occurrence of major (above-ankle) or minor (below-ankle) amputation (captured via adverse 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 (Staniszewska et al., Diabetes Care 2024;47(11):1958–1968)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 (Staniszewska et al., Diabetologia 2026; https://doi.org/10.1007/s00125-026-06815-1)</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 Healing status and the timing of the Cardiff Wound Impact Schedule are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eCRF-Document 46 (AE/SAE Report Form).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eCRF-Document 46 (AE/SAE Report Form).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p>
      <w:pPr/>
      <w:r>
        <w:t>Staniszewska A, Jones A, Davies L, et al. Development of a core descriptor set for studies assessing interventions for diabetes-related foot ulceration. Diabetologia. 2026. doi:10.1007/s00125-026-06815-1</w:t>
      </w:r>
    </w:p>
    <w:p w14:paraId="54EEF9DD" w14:textId="0094EA9B" w:rsidR="0038180F" w:rsidRPr="00273BD4" w:rsidRDefault="0038180F">
      <w:pPr>
        <w:rPr>
          <w:rFonts w:ascii="Calibri" w:eastAsia="Times New Roman" w:hAnsi="Calibri" w:cs="Calibri"/>
          <w:kern w:val="0"/>
          <w14:ligatures w14:val="none"/>
        </w:rPr>
      </w:pPr>
      <w:r>
        <w:t>Staniszewska A, Game F, Nixon J, et al. Development of a core outcome set for studies assessing interventions for diabetes-related foot ulceration. Diabetes Care. 2024;47(11):1958–1968. doi:10.2337/dc24-1112</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