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[1]; a systematic review of cohorts followed for five years places absolute five-year mortality after ulceration at approximately 40%, though the pooled populations differed widely in demographic profile and comorbidity [2]. More than half of ulcers become infected, approximately one in five moderate or severe infections leads to amputation, and five-year mortality following diabetes-related amputation exceeds 70% [1]. Healthcare expenditure on diabetes-related foot ulceration and amputation in England was estimated at £837 to £962 million in 2014–2015, more than the combined cost of breast, prostate and lung cancer [3].</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treated at fourteen European diabetic foot centres with longstanding expertise, 23% had not healed after one year [4].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[5].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[6], applied within the state-of-the-art design protocol that specifies modification whenever midfoot or forefoot peak pressure exceeds 200 kPa [7]; pressure-informed therapeutic footwear is standard of care after ulceration [8].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[9]. Benefits appeared only among the 46% of participants who wore the footwear as prescribed: recurrence in that subgroup was 25.7% with improved footwear versus 47.8% with usual care (odds ratio 0.38, 95% CI 0.15–0.99, p = 0.045) [9]. Accordingly, the trial's conclusion was conditional: improved offloading does not reduce recurrence unless it is worn as recommended [9].</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[10]. The most rigorous individual trial evaluating a structured single educational session found no reduction in ulceration at either six or twelve months [11].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[12].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[13]; fewer than one-third of patients wear prescribed footwear more than 80% of the time [9,13].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[14].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[1,17].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[18],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[19].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[11].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[10].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[20].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[9], whereas adherence-monitoring approaches have mainly been evaluated in other healthcare systems, with challenges in implementation reported [18].</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[12].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[21].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[22]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[23]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[24].</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systolic toe pressure below 30 mmHg, or transcutaneous oxygen tension below 30 mmHg [25];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r w:rsidR="00CC52FA">
        <w:rPr>
          <w:lang w:val="en-GB"/>
        </w:rPr>
      </w:r>
      <w:r w:rsidRPr="00D1417A">
        <w:rPr>
          <w:lang w:val="en-GB"/>
        </w:rPr>
      </w:r>
      <w:proofErr w:type="spellStart"/>
      <w:r w:rsidRPr="00D1417A">
        <w:rPr>
          <w:lang w:val="en-GB"/>
        </w:rPr>
      </w:r>
      <w:proofErr w:type="spellEnd"/>
      <w:r w:rsidRPr="00D1417A">
        <w:rPr>
          <w:lang w:val="en-GB"/>
        </w:rPr>
      </w:r>
      <w:r w:rsidR="00CC52FA">
        <w:rPr>
          <w:lang w:val="en-GB"/>
        </w:rPr>
      </w:r>
      <w:r w:rsidRPr="00D1417A">
        <w:rPr>
          <w:lang w:val="en-GB"/>
        </w:rPr>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[8]: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[7].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[7] and the optimisation criteria validated in that group’s earlier work [6],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[26]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[13]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[27];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[28],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[1,17],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[30];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[9]</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[9,13],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[13]. Anticipating an increase to 85% under PARADISE — comparable in magnitude to the improvement observed when adherence was actively targeted in prior work [31]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[9],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[32],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r w:rsidRPr="00D1417A">
        <w:rPr>
          <w:lang w:val="en-GB"/>
        </w:rPr>
      </w:r>
      <w:proofErr w:type="gramStart"/>
      <w:r w:rsidRPr="00D1417A">
        <w:rPr>
          <w:lang w:val="en-GB"/>
        </w:rPr>
      </w:r>
      <w:proofErr w:type="gramEnd"/>
      <w:r w:rsidRPr="00D1417A">
        <w:rPr>
          <w:lang w:val="en-GB"/>
        </w:rPr>
      </w:r>
      <w:r w:rsidRPr="00D1417A">
        <w:rPr>
          <w:lang w:val="en-GB"/>
        </w:rPr>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[33].</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[33].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[35].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[36],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[37]; and guideline-based care was cost-effective over a lifetime horizon at under US$25,000 per QALY gained [38]. A trial-based evaluation of at-home temperature monitoring in the same population and over the same 18-month horizon reported, as a secondary outcome, an ICER of €−11,580 per ulcer prevented with a 79% probability of cost-effectiveness on that outcome [39].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willingness-to-accept of €50,000 per QALY [39]. That divergence between the two metrics is itself instructive, and is why the present evaluation reports cost per ulcer prevented and cost per quality-adjusted life year alongside one another rather than selecting whichever is the more favourable.</w:t>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[40]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[9,11],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[21].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committee and competent authority approvals have been obtained; this manuscript accompanies that submission. Protocol version 1.0, dated 17 May 2026. Anticipated recruitment start ▮.</w:t>
      </w:r>
      <w:proofErr w:type="gramStart"/>
      <w:r w:rsidRPr="00D1417A">
        <w:rPr>
          <w:lang w:val="en-GB"/>
        </w:rPr>
      </w:r>
      <w:proofErr w:type="gramEnd"/>
      <w:r w:rsidRPr="00D1417A">
        <w:rPr>
          <w:lang w:val="en-GB"/>
        </w:rPr>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[9]. Patient education, delivered conventionally, has shown no protective effect at all [1,10,11]. Objective adherence monitoring has been validated as a measurement technique [18] </w:t>
      </w:r>
      <w:r w:rsidRPr="00D1417A">
        <w:rPr>
          <w:lang w:val="en-GB"/>
        </w:rPr>
        <w:t xml:space="preserve">but implemented with only moderate success where it has been tried [18]. Continuous digital pressure feedback reduced recurrence in a proof-of-concept trial, again principally among adherent users [12].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[1,17]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[15], and the strongest evidence linking it to future ulceration remains observational and twelve months long [16].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[7].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[15];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Trial sponsor. KU Leuven, Department of Rehabilitation Sciences, Spoorwegstraat 12, 8200 Bruges, Belgium (study reference S71769). The sponsor is an academic institution and is not a commercial entity.</w:t>
      </w:r>
      <w:r w:rsidRPr="00D1417A">
        <w:rPr>
          <w:lang w:val="en-GB"/>
        </w:rPr>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Jupiter DC, Thorud JC, Buckley CJ, Shibuya N. The impact of foot ulceration and amputation on mortality in diabetic patients. I: From ulceration to death, a systematic review. Int Wound J. 2016;13(5):892–903. doi:10.1111/iwj.12404</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Kerr M, Barron E, Chadwick P, Evans T, Kong WM, Rayman G, et al. The cost of diabetic foot ulcers and amputations to the National Health Service in England. Diabet Med. 2019;36(8):995–1002. doi:10.1111/dme.13973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van Netten JJ. A shift in priority in diabetic foot care and research: 75% of foot ulcers are preventable. Diabetes Metab Res Rev. 2016;32(Suppl 1):195–200. doi:10.1002/dmrr.2738</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Lincoln NB, Radford KA, Game FL, Jeffcoate WJ. Education for secondary prevention of foot ulcers in people with diabetes: a randomised controlled trial. Diabetologia. 2008;51(11):1954–1961. doi:10.1007/s00125-008-1110-0</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Morbach S, Kersken J, Lobmann R, Nobels F, Doggen K, Van Acker K. The German and Belgian accreditation models for diabetic foot services. Diabetes Metab Res Rev. 2016;32(Suppl 1):318–325. doi:10.1002/dmrr.2752</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Chan A-W, Boutron I, Hopewell S, Moher D, Schulz KF, Collins GS, et al. SPIRIT 2025 statement: updated guideline for protocols of randomised trials. BMJ. 2025;389:e081477. doi:10.1136/bmj-2024-081477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Hoffmann TC, Glasziou PP, Boutron I, Milne R, Perera R, Moher D, et al. Better reporting of interventions: template for intervention description and replication (TIDieR) checklist and guide. BMJ. 2014;348:g1687. doi:10.1136/bmj.g1687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Loudon K, Treweek S, Sullivan F, Donnan PT, Thorpe KE, Zwarenstein M. The PRECIS-2 tool: designing trials that are fit for purpose. BMJ. 2015;350:h2147. doi:10.1136/bmj.h2147</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Hopewell S, Chan A-W, Collins GS, Hróbjartsson A, Moher D, Schulz KF, et al. CONSORT 2025 statement: updated guideline for reporting randomised trials. BMJ. 2025;389:e081123. doi:10.1136/bmj-2024-081123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Lincoln NB, Jeffcoate WJ, Ince P, Smith M, Radford KA. Validation of a new measure of protective footcare behaviour: the Nottingham Assessment of Functional Footcare (NAFF). Practical Diabetes International. 2007;24(4):207–211. doi:10.1002/pdi.1099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Zwaferink JBJ, Nollet F, Bus SA. In-shoe pressure measurements in diabetic footwear practice: success rate and facilitators of and barriers to implementation. Sensors. 2024;24(6):1795. doi:10.3390/s24061795</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Dahmen R, Siemonsma PC, Monteiro S, Roorda LD, Lankhorst GJ, Boers M. Evaluation of the wear-and-tear scale for therapeutic footwear: results of a generalizability study. J Rehabil Med. 2018;50(6):569–574. doi:10.2340/16501977-2339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Keukenkamp R, van Netten JJ, Busch-Westbroek TE, Bus SA. Custom-made footwear designed for indoor use increases short-term and long-term adherence in people with diabetes at high ulcer risk. BMJ Open Diabetes Res Care. 2022;10(1):e002593. doi:10.1136/bmjdrc-2021-002593</w:t>
      </w:r>
    </w:p>
    <w:p ns2:paraId="11F664E0" ns2:textId="77777777" w:rsidR="00D47670" w:rsidRDefault="00A02229">
      <w:pPr>
        <w:spacing w:after="100"/>
        <w:ind w:left="454" w:hanging="454"/>
      </w:pPr>
      <w:r w:rsidRPr="00D1417A">
        <w:rPr>
          <w:sz w:val="20"/>
          <w:szCs w:val="20"/>
          <w:lang w:val="en-GB"/>
        </w:rPr>
        <w:t>32.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Bus SA, van Netten JJ, Schouten DR, Dijkgraaf MGW. Cost-effectiveness of pressure-guided-offloading-improved custom-made footwear for people with diabetes at high risk of plantar foot ulceration. Diabetology. 2026;7(4):70. doi:10.3390/diabetology7040070</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ns2:paraId="11F664E3" ns2:textId="77777777" w:rsidR="00D47670" w:rsidRPr="00D1417A" w:rsidRDefault="00A02229">
      <w:pPr>
        <w:rPr>
          <w:lang w:val="en-GB"/>
        </w:rPr>
      </w:pPr>
      <w:r w:rsidRPr="00D1417A">
        <w:rPr>
          <w:sz w:val="20"/>
          <w:lang w:val="en-GB"/>
        </w:rPr>
        <w:t>35. Hakkaart-van Roijen L, Peeters S, Kanters T. Kostenhandleiding voor economische evaluaties in de gezondheidszorg: methodologie en referentieprijzen. Diemen: Zorginstituut Nederland; 2024.</w:t>
      </w:r>
    </w:p>
    <w:p ns2:paraId="11F664E4" ns2:textId="7685600F" w:rsidR="00D47670" w:rsidRPr="00D1417A" w:rsidRDefault="00A02229">
      <w:pPr>
        <w:rPr>
          <w:lang w:val="en-GB"/>
        </w:rPr>
      </w:pPr>
      <w:r w:rsidRPr="00D1417A">
        <w:rPr>
          <w:sz w:val="20"/>
          <w:lang w:val="en-GB"/>
        </w:rPr>
        <w:t>36. Prompers L, Huijberts M, Schaper N, Apelqvist J, Bakker K, Edmonds M, et al. Resource utilisation and costs associated with the treatment of diabetic foot ulcers. Prospective data from the Eurodiale Study. Diabetologia. 2008;51(10):1826–1834. doi:10.1007/s00125-008-1089-6</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40.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