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D8DB0"/>
          <w:sz w:val="16"/>
        </w:rPr>
        <w:t>PARADISE  ·  WERKPAKKET 3</w:t>
      </w:r>
    </w:p>
    <w:p>
      <w:pPr>
        <w:spacing w:after="40"/>
      </w:pPr>
      <w:r>
        <w:rPr>
          <w:b/>
          <w:color w:val="00407A"/>
          <w:sz w:val="36"/>
        </w:rPr>
        <w:t>Gezondheidseconomie — overleg Koen Putman</w:t>
      </w:r>
    </w:p>
    <w:p>
      <w:pPr>
        <w:spacing w:after="140"/>
      </w:pPr>
      <w:r>
        <w:rPr>
          <w:b w:val="0"/>
          <w:color w:val="5A6A78"/>
          <w:sz w:val="18"/>
        </w:rPr>
        <w:t>24 september 2026  ·  werkdocument</w:t>
      </w:r>
    </w:p>
    <w:p>
      <w:pPr>
        <w:spacing w:after="100"/>
      </w:pPr>
      <w:r>
        <w:rPr>
          <w:b w:val="0"/>
          <w:color w:val="1B2630"/>
          <w:sz w:val="19"/>
        </w:rPr>
        <w:t>Het meeste van wat hier speelt staat al in de taakverdeling, toegewezen aan jou en Maaike met een deadline. Sectie 1 is dus een stand van zaken, geen vragenlijst: per toegewezen punt wat ik intussen heb uitgezocht. Sectie 2 zijn vijf punten die nergens in het dossier staan.</w:t>
      </w:r>
    </w:p>
    <w:p>
      <w:pPr>
        <w:spacing w:before="260" w:after="80"/>
      </w:pPr>
      <w:r>
        <w:rPr>
          <w:b/>
          <w:color w:val="FF7A00"/>
          <w:sz w:val="22"/>
        </w:rPr>
        <w:t>1  Al toegewezen — wat ik erover vond</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Pr>
      <w:tblGrid>
        <w:gridCol w:w="3400"/>
        <w:gridCol w:w="3400"/>
        <w:gridCol w:w="3400"/>
      </w:tblGrid>
      <w:tr>
        <w:tc>
          <w:tcPr>
            <w:tcW w:type="dxa" w:w="2608"/>
            <w:shd w:val="clear" w:fill="1D8DB0"/>
          </w:tcPr>
          <w:p>
            <w:pPr>
              <w:spacing w:before="20" w:after="20"/>
            </w:pPr>
            <w:r>
              <w:rPr>
                <w:b/>
                <w:color w:val="FFFFFF"/>
                <w:sz w:val="16"/>
              </w:rPr>
              <w:t>TAAK</w:t>
            </w:r>
          </w:p>
        </w:tc>
        <w:tc>
          <w:tcPr>
            <w:tcW w:type="dxa" w:w="850"/>
            <w:shd w:val="clear" w:fill="1D8DB0"/>
          </w:tcPr>
          <w:p>
            <w:pPr>
              <w:spacing w:before="20" w:after="20"/>
            </w:pPr>
            <w:r>
              <w:rPr>
                <w:b/>
                <w:color w:val="FFFFFF"/>
                <w:sz w:val="16"/>
              </w:rPr>
              <w:t>TEGEN</w:t>
            </w:r>
          </w:p>
        </w:tc>
        <w:tc>
          <w:tcPr>
            <w:tcW w:type="dxa" w:w="6406"/>
            <w:shd w:val="clear" w:fill="1D8DB0"/>
          </w:tcPr>
          <w:p>
            <w:pPr>
              <w:spacing w:before="20" w:after="20"/>
            </w:pPr>
            <w:r>
              <w:rPr>
                <w:b/>
                <w:color w:val="FFFFFF"/>
                <w:sz w:val="16"/>
              </w:rPr>
              <w:t>WAT IK VOND</w:t>
            </w:r>
          </w:p>
        </w:tc>
      </w:tr>
      <w:tr>
        <w:tc>
          <w:tcPr>
            <w:tcW w:type="dxa" w:w="2608"/>
          </w:tcPr>
          <w:p>
            <w:pPr>
              <w:spacing w:before="20" w:after="20"/>
            </w:pPr>
            <w:r>
              <w:rPr>
                <w:color w:val="1B2630"/>
                <w:sz w:val="17"/>
              </w:rPr>
              <w:t>Eenheidsprijzen en microkosten van de interventie</w:t>
            </w:r>
          </w:p>
        </w:tc>
        <w:tc>
          <w:tcPr>
            <w:tcW w:type="dxa" w:w="850"/>
          </w:tcPr>
          <w:p>
            <w:pPr>
              <w:spacing w:before="20" w:after="20"/>
            </w:pPr>
            <w:r>
              <w:rPr>
                <w:color w:val="1B2630"/>
                <w:sz w:val="17"/>
              </w:rPr>
              <w:t>nov 26</w:t>
            </w:r>
          </w:p>
        </w:tc>
        <w:tc>
          <w:tcPr>
            <w:tcW w:type="dxa" w:w="6406"/>
          </w:tcPr>
          <w:p>
            <w:pPr>
              <w:spacing w:before="20" w:after="20"/>
            </w:pPr>
            <w:r>
              <w:rPr>
                <w:color w:val="1B2630"/>
                <w:sz w:val="17"/>
              </w:rPr>
              <w:t>eCRF 23, waar de drukgestuurde aanpassing gebeurt, heeft geen enkel tijdsveld. Het therapeutendagboek 40 vraagt wél naar tijd, maar als globaal gemiddelde per patiënt — niet per sessie. Voor micro-costing is dat te grof.</w:t>
            </w:r>
          </w:p>
        </w:tc>
      </w:tr>
      <w:tr>
        <w:tc>
          <w:tcPr>
            <w:tcW w:type="dxa" w:w="2608"/>
          </w:tcPr>
          <w:p>
            <w:pPr>
              <w:spacing w:before="20" w:after="20"/>
            </w:pPr>
            <w:r>
              <w:rPr>
                <w:color w:val="1B2630"/>
                <w:sz w:val="17"/>
              </w:rPr>
              <w:t>Tijdsregistratie afstemmen op WP3</w:t>
            </w:r>
          </w:p>
        </w:tc>
        <w:tc>
          <w:tcPr>
            <w:tcW w:type="dxa" w:w="850"/>
          </w:tcPr>
          <w:p>
            <w:pPr>
              <w:spacing w:before="20" w:after="20"/>
            </w:pPr>
            <w:r>
              <w:rPr>
                <w:color w:val="1B2630"/>
                <w:sz w:val="17"/>
              </w:rPr>
              <w:t>nov 26</w:t>
            </w:r>
          </w:p>
        </w:tc>
        <w:tc>
          <w:tcPr>
            <w:tcW w:type="dxa" w:w="6406"/>
          </w:tcPr>
          <w:p>
            <w:pPr>
              <w:spacing w:before="20" w:after="20"/>
            </w:pPr>
            <w:r>
              <w:rPr>
                <w:color w:val="1B2630"/>
                <w:sz w:val="17"/>
              </w:rPr>
              <w:t>Zelfde punt van de andere kant: als het therapeutendagboek de bron wordt, moeten die velden per sessie worden en niet als terugblik-gemiddelde.</w:t>
            </w:r>
          </w:p>
        </w:tc>
      </w:tr>
      <w:tr>
        <w:tc>
          <w:tcPr>
            <w:tcW w:type="dxa" w:w="2608"/>
          </w:tcPr>
          <w:p>
            <w:pPr>
              <w:spacing w:before="20" w:after="20"/>
            </w:pPr>
            <w:r>
              <w:rPr>
                <w:color w:val="1B2630"/>
                <w:sz w:val="17"/>
              </w:rPr>
              <w:t>Formulier dossierextractie ulcuskosten</w:t>
            </w:r>
          </w:p>
        </w:tc>
        <w:tc>
          <w:tcPr>
            <w:tcW w:type="dxa" w:w="850"/>
          </w:tcPr>
          <w:p>
            <w:pPr>
              <w:spacing w:before="20" w:after="20"/>
            </w:pPr>
            <w:r>
              <w:rPr>
                <w:color w:val="1B2630"/>
                <w:sz w:val="17"/>
              </w:rPr>
              <w:t>dec 26</w:t>
            </w:r>
          </w:p>
        </w:tc>
        <w:tc>
          <w:tcPr>
            <w:tcW w:type="dxa" w:w="6406"/>
          </w:tcPr>
          <w:p>
            <w:pPr>
              <w:spacing w:before="20" w:after="20"/>
            </w:pPr>
            <w:r>
              <w:rPr>
                <w:color w:val="1B2630"/>
                <w:sz w:val="17"/>
              </w:rPr>
              <w:t>Het protocol béschrijft de extractie wel, maar met “where feasible” — dat is geen procedure. Zes ziekenhuizen, zes dossiersystemen, een verwerkingsgrond per centrum.</w:t>
            </w:r>
          </w:p>
        </w:tc>
      </w:tr>
      <w:tr>
        <w:tc>
          <w:tcPr>
            <w:tcW w:type="dxa" w:w="2608"/>
          </w:tcPr>
          <w:p>
            <w:pPr>
              <w:spacing w:before="20" w:after="20"/>
            </w:pPr>
            <w:r>
              <w:rPr>
                <w:color w:val="1B2630"/>
                <w:sz w:val="17"/>
              </w:rPr>
              <w:t>Dagboeklast toetsen naast de iMCQ</w:t>
            </w:r>
          </w:p>
        </w:tc>
        <w:tc>
          <w:tcPr>
            <w:tcW w:type="dxa" w:w="850"/>
          </w:tcPr>
          <w:p>
            <w:pPr>
              <w:spacing w:before="20" w:after="20"/>
            </w:pPr>
            <w:r>
              <w:rPr>
                <w:color w:val="1B2630"/>
                <w:sz w:val="17"/>
              </w:rPr>
              <w:t>nov 26</w:t>
            </w:r>
          </w:p>
        </w:tc>
        <w:tc>
          <w:tcPr>
            <w:tcW w:type="dxa" w:w="6406"/>
          </w:tcPr>
          <w:p>
            <w:pPr>
              <w:spacing w:before="20" w:after="20"/>
            </w:pPr>
            <w:r>
              <w:rPr>
                <w:color w:val="1B2630"/>
                <w:sz w:val="17"/>
              </w:rPr>
              <w:t>Item voor item vergeleken. Op de dure posten is de overlap zo goed als volledig. Maar de iMCQ heeft spoed, ambulance, mantelzorg en vervoer die het dagboek mist; het dagboek heeft voetzorgmateriaal, het remgeld in euro en prospectieve registratie die de iMCQ mist. Geen van beide is dus zonder verlies te schrappen.</w:t>
            </w:r>
          </w:p>
        </w:tc>
      </w:tr>
      <w:tr>
        <w:tc>
          <w:tcPr>
            <w:tcW w:type="dxa" w:w="2608"/>
          </w:tcPr>
          <w:p>
            <w:pPr>
              <w:spacing w:before="20" w:after="20"/>
            </w:pPr>
            <w:r>
              <w:rPr>
                <w:color w:val="1B2630"/>
                <w:sz w:val="17"/>
              </w:rPr>
              <w:t>Maatschappelijk perspectief toetsen</w:t>
            </w:r>
          </w:p>
        </w:tc>
        <w:tc>
          <w:tcPr>
            <w:tcW w:type="dxa" w:w="850"/>
          </w:tcPr>
          <w:p>
            <w:pPr>
              <w:spacing w:before="20" w:after="20"/>
            </w:pPr>
            <w:r>
              <w:rPr>
                <w:color w:val="1B2630"/>
                <w:sz w:val="17"/>
              </w:rPr>
              <w:t>nov 26</w:t>
            </w:r>
          </w:p>
        </w:tc>
        <w:tc>
          <w:tcPr>
            <w:tcW w:type="dxa" w:w="6406"/>
          </w:tcPr>
          <w:p>
            <w:pPr>
              <w:spacing w:before="20" w:after="20"/>
            </w:pPr>
            <w:r>
              <w:rPr>
                <w:color w:val="1B2630"/>
                <w:sz w:val="17"/>
              </w:rPr>
              <w:t>Beslist: de iPCQ blijft. KCE houdt productiviteitskosten hoe dan ook buiten de referentieanalyse, en vraagt voor de complementaire analyse harde data dat de interventie er effect op heeft.</w:t>
            </w:r>
          </w:p>
        </w:tc>
      </w:tr>
      <w:tr>
        <w:tc>
          <w:tcPr>
            <w:tcW w:type="dxa" w:w="2608"/>
          </w:tcPr>
          <w:p>
            <w:pPr>
              <w:spacing w:before="20" w:after="20"/>
            </w:pPr>
            <w:r>
              <w:rPr>
                <w:color w:val="1B2630"/>
                <w:sz w:val="17"/>
              </w:rPr>
              <w:t>Gezondheidseconomisch analyseplan</w:t>
            </w:r>
          </w:p>
        </w:tc>
        <w:tc>
          <w:tcPr>
            <w:tcW w:type="dxa" w:w="850"/>
          </w:tcPr>
          <w:p>
            <w:pPr>
              <w:spacing w:before="20" w:after="20"/>
            </w:pPr>
            <w:r>
              <w:rPr>
                <w:color w:val="1B2630"/>
                <w:sz w:val="17"/>
              </w:rPr>
              <w:t>dec 26</w:t>
            </w:r>
          </w:p>
        </w:tc>
        <w:tc>
          <w:tcPr>
            <w:tcW w:type="dxa" w:w="6406"/>
          </w:tcPr>
          <w:p>
            <w:pPr>
              <w:spacing w:before="20" w:after="20"/>
            </w:pPr>
            <w:r>
              <w:rPr>
                <w:color w:val="1B2630"/>
                <w:sz w:val="17"/>
              </w:rPr>
              <w:t>Zie sectie 3: acht plaatsen waar het manuscript vaag blijft, met telkens wat KCE 400 vraagt. Dat is grotendeels de inhoud van dat plan.</w:t>
            </w:r>
          </w:p>
        </w:tc>
      </w:tr>
      <w:tr>
        <w:tc>
          <w:tcPr>
            <w:tcW w:type="dxa" w:w="2608"/>
          </w:tcPr>
          <w:p>
            <w:pPr>
              <w:spacing w:before="20" w:after="20"/>
            </w:pPr>
            <w:r>
              <w:rPr>
                <w:color w:val="1B2630"/>
                <w:sz w:val="17"/>
              </w:rPr>
              <w:t>Markov: structuur en parameters</w:t>
            </w:r>
          </w:p>
        </w:tc>
        <w:tc>
          <w:tcPr>
            <w:tcW w:type="dxa" w:w="850"/>
          </w:tcPr>
          <w:p>
            <w:pPr>
              <w:spacing w:before="20" w:after="20"/>
            </w:pPr>
            <w:r>
              <w:rPr>
                <w:color w:val="1B2630"/>
                <w:sz w:val="17"/>
              </w:rPr>
              <w:t>na de start</w:t>
            </w:r>
          </w:p>
        </w:tc>
        <w:tc>
          <w:tcPr>
            <w:tcW w:type="dxa" w:w="6406"/>
          </w:tcPr>
          <w:p>
            <w:pPr>
              <w:spacing w:before="20" w:after="20"/>
            </w:pPr>
            <w:r>
              <w:rPr>
                <w:color w:val="1B2630"/>
                <w:sz w:val="17"/>
              </w:rPr>
              <w:t>Naast de transitiekansen ontbreken ook de utiliteiten per toestand. In grote amputatie zal er te weinig persoonstijd zitten om ze uit de trial te halen; trial- en literatuurutiliteiten mengen vertekent.</w:t>
            </w:r>
          </w:p>
        </w:tc>
      </w:tr>
      <w:tr>
        <w:tc>
          <w:tcPr>
            <w:tcW w:type="dxa" w:w="2608"/>
          </w:tcPr>
          <w:p>
            <w:pPr>
              <w:spacing w:before="20" w:after="20"/>
            </w:pPr>
            <w:r>
              <w:rPr>
                <w:color w:val="1B2630"/>
                <w:sz w:val="17"/>
              </w:rPr>
              <w:t>Veldwerk WP2 en WP3 — tweede doctoraatsplaats</w:t>
            </w:r>
          </w:p>
        </w:tc>
        <w:tc>
          <w:tcPr>
            <w:tcW w:type="dxa" w:w="850"/>
          </w:tcPr>
          <w:p>
            <w:pPr>
              <w:spacing w:before="20" w:after="20"/>
            </w:pPr>
            <w:r>
              <w:rPr>
                <w:color w:val="1B2630"/>
                <w:sz w:val="17"/>
              </w:rPr>
              <w:t>okt 26</w:t>
            </w:r>
          </w:p>
        </w:tc>
        <w:tc>
          <w:tcPr>
            <w:tcW w:type="dxa" w:w="6406"/>
          </w:tcPr>
          <w:p>
            <w:pPr>
              <w:spacing w:before="20" w:after="20"/>
            </w:pPr>
            <w:r>
              <w:rPr>
                <w:color w:val="1B2630"/>
                <w:sz w:val="17"/>
              </w:rPr>
              <w:t>Nemen we de vragenlijsten telefonisch af, dan komt daar 144 × 6 = 864 gesprekken bij, ruwweg 300 tot 580 uur. Bovenop de circa 1 900 dagboekjes die centraal overgetypt worden.</w:t>
            </w:r>
          </w:p>
        </w:tc>
      </w:tr>
      <w:tr>
        <w:tc>
          <w:tcPr>
            <w:tcW w:type="dxa" w:w="2608"/>
          </w:tcPr>
          <w:p>
            <w:pPr>
              <w:spacing w:before="20" w:after="20"/>
            </w:pPr>
            <w:r>
              <w:rPr>
                <w:color w:val="1B2630"/>
                <w:sz w:val="17"/>
              </w:rPr>
              <w:t>Licenties EuroQol en iMTA</w:t>
            </w:r>
          </w:p>
        </w:tc>
        <w:tc>
          <w:tcPr>
            <w:tcW w:type="dxa" w:w="850"/>
          </w:tcPr>
          <w:p>
            <w:pPr>
              <w:spacing w:before="20" w:after="20"/>
            </w:pPr>
            <w:r>
              <w:rPr>
                <w:color w:val="1B2630"/>
                <w:sz w:val="17"/>
              </w:rPr>
              <w:t>okt 26</w:t>
            </w:r>
          </w:p>
        </w:tc>
        <w:tc>
          <w:tcPr>
            <w:tcW w:type="dxa" w:w="6406"/>
          </w:tcPr>
          <w:p>
            <w:pPr>
              <w:spacing w:before="20" w:after="20"/>
            </w:pPr>
            <w:r>
              <w:rPr>
                <w:color w:val="1B2630"/>
                <w:sz w:val="17"/>
              </w:rPr>
              <w:t>EuroQol is geregistreerd; Belgium Flemish aangevraagd want het formulier droeg de Nederlandse versie. iMTA nog te doen. Bij EuroQol moet de interviewer-administered versie bijgevraagd worden als we telefonisch afnemen.</w:t>
            </w:r>
          </w:p>
        </w:tc>
      </w:tr>
    </w:tbl>
    <w:p>
      <w:pPr>
        <w:spacing w:before="260" w:after="80"/>
      </w:pPr>
      <w:r>
        <w:rPr>
          <w:b/>
          <w:color w:val="FF7A00"/>
          <w:sz w:val="22"/>
        </w:rPr>
        <w:t>2  Vijf punten die nergens staan</w:t>
      </w:r>
    </w:p>
    <w:p>
      <w:pPr>
        <w:spacing w:after="80"/>
      </w:pPr>
      <w:r>
        <w:rPr>
          <w:b w:val="0"/>
          <w:color w:val="5A6A78"/>
          <w:sz w:val="17"/>
        </w:rPr>
        <w:t>Niet in het manuscript, niet in het protocol, niet in de taakverdeling.</w:t>
      </w:r>
    </w:p>
    <w:p>
      <w:pPr>
        <w:spacing w:after="80"/>
        <w:ind w:left="397" w:hanging="397"/>
      </w:pPr>
      <w:r>
        <w:rPr>
          <w:b/>
          <w:color w:val="FF7A00"/>
          <w:sz w:val="18"/>
        </w:rPr>
        <w:t xml:space="preserve">1  </w:t>
      </w:r>
      <w:r>
        <w:rPr>
          <w:b/>
          <w:color w:val="1B2630"/>
          <w:sz w:val="18"/>
        </w:rPr>
        <w:t xml:space="preserve">Komt er een budgetimpactanalyse?  </w:t>
      </w:r>
      <w:r>
        <w:rPr>
          <w:b w:val="0"/>
          <w:color w:val="5A6A78"/>
          <w:sz w:val="18"/>
        </w:rPr>
        <w:t>De studie positioneert zich expliciet als input voor een terugbetalingsbeslissing. Het manuscript noemt geen BIA — nul treffers. Het RIZIV vraagt er doorgaans één náást de kosteneffectiviteit, en KCE 400 behandelt beide in één richtlijn. Doen we het, of laten we het bewust?</w:t>
      </w:r>
    </w:p>
    <w:p>
      <w:pPr>
        <w:spacing w:after="80"/>
        <w:ind w:left="397" w:hanging="397"/>
      </w:pPr>
      <w:r>
        <w:rPr>
          <w:b/>
          <w:color w:val="FF7A00"/>
          <w:sz w:val="18"/>
        </w:rPr>
        <w:t xml:space="preserve">2  </w:t>
      </w:r>
      <w:r>
        <w:rPr>
          <w:b/>
          <w:color w:val="1B2630"/>
          <w:sz w:val="18"/>
        </w:rPr>
        <w:t xml:space="preserve">De economische evaluatie is niet apart gepowerd.  </w:t>
      </w:r>
      <w:r>
        <w:rPr>
          <w:b w:val="0"/>
          <w:color w:val="5A6A78"/>
          <w:sz w:val="18"/>
        </w:rPr>
        <w:t>De 144 volgen uit het klinische eindpunt en de wervingscapaciteit per centrum. Kostendata zijn scheef en variabel. Aanvaardbaar en gangbaar — maar noch protocol noch manuscript vermeldt het. Zetten we het erbij?</w:t>
      </w:r>
    </w:p>
    <w:p>
      <w:pPr>
        <w:spacing w:after="80"/>
        <w:ind w:left="397" w:hanging="397"/>
      </w:pPr>
      <w:r>
        <w:rPr>
          <w:b/>
          <w:color w:val="FF7A00"/>
          <w:sz w:val="18"/>
        </w:rPr>
        <w:t xml:space="preserve">3  </w:t>
      </w:r>
      <w:r>
        <w:rPr>
          <w:b/>
          <w:color w:val="1B2630"/>
          <w:sz w:val="18"/>
        </w:rPr>
        <w:t xml:space="preserve">Mantelzorg staat op drie formulieren.  </w:t>
      </w:r>
      <w:r>
        <w:rPr>
          <w:b w:val="0"/>
          <w:color w:val="5A6A78"/>
          <w:sz w:val="18"/>
        </w:rPr>
        <w:t>eCRF 07 als ja/nee, iMCQ vraag 19 als werkelijk ontvangen uren per soort, iPCQ vraag 12 als hypothetische vervangingsuren voor onbetaald werk. De laatste twee zijn conceptueel verschillend, maar kunnen dezelfde uren bevatten. In de maatschappelijke analyse telt dat dubbel.</w:t>
      </w:r>
    </w:p>
    <w:p>
      <w:pPr>
        <w:spacing w:after="80"/>
        <w:ind w:left="397" w:hanging="397"/>
      </w:pPr>
      <w:r>
        <w:rPr>
          <w:b/>
          <w:color w:val="FF7A00"/>
          <w:sz w:val="18"/>
        </w:rPr>
        <w:t xml:space="preserve">4  </w:t>
      </w:r>
      <w:r>
        <w:rPr>
          <w:b/>
          <w:color w:val="1B2630"/>
          <w:sz w:val="18"/>
        </w:rPr>
        <w:t xml:space="preserve">Rapporteren we de ICUR ook gestratificeerd naar therapietrouw?  </w:t>
      </w:r>
      <w:r>
        <w:rPr>
          <w:b w:val="0"/>
          <w:color w:val="5A6A78"/>
          <w:sz w:val="18"/>
        </w:rPr>
        <w:t>Therapietrouw is de vooraf vastgelegde mediator van het klinische effect, met een drempel van 80%. Het manuscript stelt zelf vast dat DIAFOS diezelfde voorwaarde ook economisch terugvond, maar belooft geen gestratificeerde analyse. Een betaler wil weten wat hij koopt bij reële therapietrouw.</w:t>
      </w:r>
    </w:p>
    <w:p>
      <w:pPr>
        <w:spacing w:after="80"/>
        <w:ind w:left="397" w:hanging="397"/>
      </w:pPr>
      <w:r>
        <w:rPr>
          <w:b/>
          <w:color w:val="FF7A00"/>
          <w:sz w:val="18"/>
        </w:rPr>
        <w:t xml:space="preserve">5  </w:t>
      </w:r>
      <w:r>
        <w:rPr>
          <w:b/>
          <w:color w:val="1B2630"/>
          <w:sz w:val="18"/>
        </w:rPr>
        <w:t xml:space="preserve">Krijgen béide armen twee paren CMFO?  </w:t>
      </w:r>
      <w:r>
        <w:rPr>
          <w:b w:val="0"/>
          <w:color w:val="5A6A78"/>
          <w:sz w:val="18"/>
        </w:rPr>
        <w:t>eCRF 33 staat in beide armen en spreekt over paar 1, paar 2 en beide. Maar PARADISE_BRONNEN koppelt het duplicaatpaar aan “zodra de drukdoelen gehaald zijn”, en dat is een Optimal Care-begrip — in Usual Care is de meting geblindeerd en stuurt ze niets. Verschilt het aantal paren tussen de armen, dan zit een deel van het kostenverschil gewoon in meer zolen. Dit moet sowieso uitgeklaard, ook los van de economie.</w:t>
      </w:r>
    </w:p>
    <w:p>
      <w:pPr>
        <w:spacing w:before="260" w:after="80"/>
      </w:pPr>
      <w:r>
        <w:rPr>
          <w:b/>
          <w:color w:val="FF7A00"/>
          <w:sz w:val="22"/>
        </w:rPr>
        <w:t>3  Input voor het economisch analyseplan van december</w:t>
      </w:r>
    </w:p>
    <w:p>
      <w:pPr>
        <w:spacing w:after="80"/>
      </w:pPr>
      <w:r>
        <w:rPr>
          <w:b w:val="0"/>
          <w:color w:val="5A6A78"/>
          <w:sz w:val="17"/>
        </w:rPr>
        <w:t>KCE-rapport 400, derde editie mei 2025 — nieuwer dan de editie van 2012 die meestal geciteerd wordt.</w:t>
      </w:r>
    </w:p>
    <w:tbl>
      <w:tblPr>
        <w:tblW w:type="auto" w:w="0"/>
        <w:jc w:val="left"/>
        <w:tblLayout w:type="fixed"/>
        <w:tblLook w:firstColumn="1" w:firstRow="1" w:lastColumn="0" w:lastRow="0" w:noHBand="0" w:noVBand="1" w:val="04A0"/>
        <w:tblBorders>
          <w:top w:val="single" w:sz="4" w:color="D8E2EA"/>
          <w:left w:val="single" w:sz="4" w:color="D8E2EA"/>
          <w:bottom w:val="single" w:sz="4" w:color="D8E2EA"/>
          <w:right w:val="single" w:sz="4" w:color="D8E2EA"/>
          <w:insideH w:val="single" w:sz="4" w:color="D8E2EA"/>
          <w:insideV w:val="single" w:sz="4" w:color="D8E2EA"/>
        </w:tblBorders>
      </w:tblPr>
      <w:tblGrid>
        <w:gridCol w:w="5100"/>
        <w:gridCol w:w="5100"/>
      </w:tblGrid>
      <w:tr>
        <w:tc>
          <w:tcPr>
            <w:tcW w:type="dxa" w:w="3175"/>
            <w:shd w:val="clear" w:fill="1D8DB0"/>
          </w:tcPr>
          <w:p>
            <w:pPr>
              <w:spacing w:before="20" w:after="20"/>
            </w:pPr>
            <w:r>
              <w:rPr>
                <w:b/>
                <w:color w:val="FFFFFF"/>
                <w:sz w:val="16"/>
              </w:rPr>
              <w:t>WAT HET MANUSCRIPT ZEGT</w:t>
            </w:r>
          </w:p>
        </w:tc>
        <w:tc>
          <w:tcPr>
            <w:tcW w:type="dxa" w:w="6690"/>
            <w:shd w:val="clear" w:fill="1D8DB0"/>
          </w:tcPr>
          <w:p>
            <w:pPr>
              <w:spacing w:before="20" w:after="20"/>
            </w:pPr>
            <w:r>
              <w:rPr>
                <w:b/>
                <w:color w:val="FFFFFF"/>
                <w:sz w:val="16"/>
              </w:rPr>
              <w:t>WAT DE RICHTLIJN VRAAGT</w:t>
            </w:r>
          </w:p>
        </w:tc>
      </w:tr>
      <w:tr>
        <w:tc>
          <w:tcPr>
            <w:tcW w:type="dxa" w:w="3175"/>
          </w:tcPr>
          <w:p>
            <w:pPr>
              <w:spacing w:before="20" w:after="20"/>
            </w:pPr>
            <w:r>
              <w:rPr>
                <w:color w:val="1B2630"/>
                <w:sz w:val="17"/>
              </w:rPr>
              <w:t>Disconto “as specified in the guidance”, zonder getallen</w:t>
            </w:r>
          </w:p>
        </w:tc>
        <w:tc>
          <w:tcPr>
            <w:tcW w:type="dxa" w:w="6690"/>
          </w:tcPr>
          <w:p>
            <w:pPr>
              <w:spacing w:before="20" w:after="20"/>
            </w:pPr>
            <w:r>
              <w:rPr>
                <w:color w:val="1B2630"/>
                <w:sz w:val="17"/>
              </w:rPr>
              <w:t>3% kosten, 1,5% effecten. Plus verplichte scenario’s met een gelijke voet van 0%, 3% en 5% — die staan er niet.</w:t>
            </w:r>
          </w:p>
        </w:tc>
      </w:tr>
      <w:tr>
        <w:tc>
          <w:tcPr>
            <w:tcW w:type="dxa" w:w="3175"/>
          </w:tcPr>
          <w:p>
            <w:pPr>
              <w:spacing w:before="20" w:after="20"/>
            </w:pPr>
            <w:r>
              <w:rPr>
                <w:color w:val="1B2630"/>
                <w:sz w:val="17"/>
              </w:rPr>
              <w:t>“standard reference prices”</w:t>
            </w:r>
          </w:p>
        </w:tc>
        <w:tc>
          <w:tcPr>
            <w:tcW w:type="dxa" w:w="6690"/>
          </w:tcPr>
          <w:p>
            <w:pPr>
              <w:spacing w:before="20" w:after="20"/>
            </w:pPr>
            <w:r>
              <w:rPr>
                <w:color w:val="1B2630"/>
                <w:sz w:val="17"/>
              </w:rPr>
              <w:t>Gevalideerde bron bij naam, plus valuta en prijsjaar (CHEERS). Ontbreekt.</w:t>
            </w:r>
          </w:p>
        </w:tc>
      </w:tr>
      <w:tr>
        <w:tc>
          <w:tcPr>
            <w:tcW w:type="dxa" w:w="3175"/>
          </w:tcPr>
          <w:p>
            <w:pPr>
              <w:spacing w:before="20" w:after="20"/>
            </w:pPr>
            <w:r>
              <w:rPr>
                <w:color w:val="1B2630"/>
                <w:sz w:val="17"/>
              </w:rPr>
              <w:t>“where no national value set applies…”</w:t>
            </w:r>
          </w:p>
        </w:tc>
        <w:tc>
          <w:tcPr>
            <w:tcW w:type="dxa" w:w="6690"/>
          </w:tcPr>
          <w:p>
            <w:pPr>
              <w:spacing w:before="20" w:after="20"/>
            </w:pPr>
            <w:r>
              <w:rPr>
                <w:color w:val="1B2630"/>
                <w:sz w:val="17"/>
              </w:rPr>
              <w:t>Achterhaald — er is een Belgische waardeset. Clausule schrappen, Bouckaert e.a. 2022 rechtstreeks noemen.</w:t>
            </w:r>
          </w:p>
        </w:tc>
      </w:tr>
      <w:tr>
        <w:tc>
          <w:tcPr>
            <w:tcW w:type="dxa" w:w="3175"/>
          </w:tcPr>
          <w:p>
            <w:pPr>
              <w:spacing w:before="20" w:after="20"/>
            </w:pPr>
            <w:r>
              <w:rPr>
                <w:color w:val="1B2630"/>
                <w:sz w:val="17"/>
              </w:rPr>
              <w:t>Markov, zes toestanden</w:t>
            </w:r>
          </w:p>
        </w:tc>
        <w:tc>
          <w:tcPr>
            <w:tcW w:type="dxa" w:w="6690"/>
          </w:tcPr>
          <w:p>
            <w:pPr>
              <w:spacing w:before="20" w:after="20"/>
            </w:pPr>
            <w:r>
              <w:rPr>
                <w:color w:val="1B2630"/>
                <w:sz w:val="17"/>
              </w:rPr>
              <w:t>Cyclusduur en half-cycle correctie ontbreken; utiliteiten met bron.</w:t>
            </w:r>
          </w:p>
        </w:tc>
      </w:tr>
      <w:tr>
        <w:tc>
          <w:tcPr>
            <w:tcW w:type="dxa" w:w="3175"/>
          </w:tcPr>
          <w:p>
            <w:pPr>
              <w:spacing w:before="20" w:after="20"/>
            </w:pPr>
            <w:r>
              <w:rPr>
                <w:color w:val="1B2630"/>
                <w:sz w:val="17"/>
              </w:rPr>
              <w:t>Horizon van vijf jaar</w:t>
            </w:r>
          </w:p>
        </w:tc>
        <w:tc>
          <w:tcPr>
            <w:tcW w:type="dxa" w:w="6690"/>
          </w:tcPr>
          <w:p>
            <w:pPr>
              <w:spacing w:before="20" w:after="20"/>
            </w:pPr>
            <w:r>
              <w:rPr>
                <w:color w:val="1B2630"/>
                <w:sz w:val="17"/>
              </w:rPr>
              <w:t>Kortere horizonnen als scenario presenteren, en motiveren waarom niet levenslang.</w:t>
            </w:r>
          </w:p>
        </w:tc>
      </w:tr>
      <w:tr>
        <w:tc>
          <w:tcPr>
            <w:tcW w:type="dxa" w:w="3175"/>
          </w:tcPr>
          <w:p>
            <w:pPr>
              <w:spacing w:before="20" w:after="20"/>
            </w:pPr>
            <w:r>
              <w:rPr>
                <w:color w:val="1B2630"/>
                <w:sz w:val="17"/>
              </w:rPr>
              <w:t>“healthcare payer perspective”</w:t>
            </w:r>
          </w:p>
        </w:tc>
        <w:tc>
          <w:tcPr>
            <w:tcW w:type="dxa" w:w="6690"/>
          </w:tcPr>
          <w:p>
            <w:pPr>
              <w:spacing w:before="20" w:after="20"/>
            </w:pPr>
            <w:r>
              <w:rPr>
                <w:color w:val="1B2630"/>
                <w:sz w:val="17"/>
              </w:rPr>
              <w:t>Omvat ook het remgeld van de patiënt. De dagboeken vragen dat al.</w:t>
            </w:r>
          </w:p>
        </w:tc>
      </w:tr>
      <w:tr>
        <w:tc>
          <w:tcPr>
            <w:tcW w:type="dxa" w:w="3175"/>
          </w:tcPr>
          <w:p>
            <w:pPr>
              <w:spacing w:before="20" w:after="20"/>
            </w:pPr>
            <w:r>
              <w:rPr>
                <w:color w:val="1B2630"/>
                <w:sz w:val="17"/>
              </w:rPr>
              <w:t>€50 000 per QALY genoemd (bij DIATEMP)</w:t>
            </w:r>
          </w:p>
        </w:tc>
        <w:tc>
          <w:tcPr>
            <w:tcW w:type="dxa" w:w="6690"/>
          </w:tcPr>
          <w:p>
            <w:pPr>
              <w:spacing w:before="20" w:after="20"/>
            </w:pPr>
            <w:r>
              <w:rPr>
                <w:color w:val="1B2630"/>
                <w:sz w:val="17"/>
              </w:rPr>
              <w:t>België heeft geen drempelwaarde. Drempels uit andere landen niet overnemen, niet aanpassen, niet indexeren.</w:t>
            </w:r>
          </w:p>
        </w:tc>
      </w:tr>
      <w:tr>
        <w:tc>
          <w:tcPr>
            <w:tcW w:type="dxa" w:w="3175"/>
          </w:tcPr>
          <w:p>
            <w:pPr>
              <w:spacing w:before="20" w:after="20"/>
            </w:pPr>
            <w:r>
              <w:rPr>
                <w:color w:val="1B2630"/>
                <w:sz w:val="17"/>
              </w:rPr>
              <w:t>Niets over ontbrekende data of clustering</w:t>
            </w:r>
          </w:p>
        </w:tc>
        <w:tc>
          <w:tcPr>
            <w:tcW w:type="dxa" w:w="6690"/>
          </w:tcPr>
          <w:p>
            <w:pPr>
              <w:spacing w:before="20" w:after="20"/>
            </w:pPr>
            <w:r>
              <w:rPr>
                <w:color w:val="1B2630"/>
                <w:sz w:val="17"/>
              </w:rPr>
              <w:t>Kosten en QALY’s gézamenlijk imputeren, anders klopt de bootstrap niet. En met 24 deelnemers per centrum: hoort het centrum als toevallig effect in het kostenmodel?</w:t>
            </w:r>
          </w:p>
        </w:tc>
      </w:tr>
    </w:tbl>
    <w:p>
      <w:pPr>
        <w:spacing w:before="260" w:after="80"/>
      </w:pPr>
      <w:r>
        <w:rPr>
          <w:b/>
          <w:color w:val="FF7A00"/>
          <w:sz w:val="22"/>
        </w:rPr>
        <w:t>4  Uitgezocht — geen bespreking nodig</w:t>
      </w:r>
    </w:p>
    <w:p>
      <w:pPr>
        <w:spacing w:after="80"/>
        <w:ind w:left="397" w:hanging="397"/>
      </w:pPr>
      <w:r>
        <w:rPr>
          <w:b/>
          <w:color w:val="FF7A00"/>
          <w:sz w:val="18"/>
        </w:rPr>
        <w:t xml:space="preserve">•  </w:t>
      </w:r>
      <w:r>
        <w:rPr>
          <w:b/>
          <w:color w:val="1B2630"/>
          <w:sz w:val="18"/>
        </w:rPr>
        <w:t xml:space="preserve">Nederlands origineel van iMCQ en iPCQ, ongewijzigd.  </w:t>
      </w:r>
      <w:r>
        <w:rPr>
          <w:b w:val="0"/>
          <w:color w:val="5A6A78"/>
          <w:sz w:val="18"/>
        </w:rPr>
        <w:t>Één item is Nederlands-specifiek (de bedrijfsarts, hier bijna altijd nul). Er bestaat geen Belgische versie. De A-sectie dubbelt met eCRF 07 en wordt niet afgenomen — iMTA staat weglaten van irrelevante modules toe.</w:t>
      </w:r>
    </w:p>
    <w:p>
      <w:pPr>
        <w:spacing w:after="80"/>
        <w:ind w:left="397" w:hanging="397"/>
      </w:pPr>
      <w:r>
        <w:rPr>
          <w:b/>
          <w:color w:val="FF7A00"/>
          <w:sz w:val="18"/>
        </w:rPr>
        <w:t xml:space="preserve">•  </w:t>
      </w:r>
      <w:r>
        <w:rPr>
          <w:b/>
          <w:color w:val="1B2630"/>
          <w:sz w:val="18"/>
        </w:rPr>
        <w:t xml:space="preserve">Terugblik blijft vier weken.  </w:t>
      </w:r>
      <w:r>
        <w:rPr>
          <w:b w:val="0"/>
          <w:color w:val="5A6A78"/>
          <w:sz w:val="18"/>
        </w:rPr>
        <w:t>De iMTA-handleiding: langer gaat ten koste van de accuraatheid, en ze schrijft extrapolatie naar het werkelijke interval voor.</w:t>
      </w:r>
    </w:p>
    <w:p>
      <w:pPr>
        <w:spacing w:after="80"/>
        <w:ind w:left="397" w:hanging="397"/>
      </w:pPr>
      <w:r>
        <w:rPr>
          <w:b/>
          <w:color w:val="FF7A00"/>
          <w:sz w:val="18"/>
        </w:rPr>
        <w:t xml:space="preserve">•  </w:t>
      </w:r>
      <w:r>
        <w:rPr>
          <w:b/>
          <w:color w:val="1B2630"/>
          <w:sz w:val="18"/>
        </w:rPr>
        <w:t xml:space="preserve">Telefonisch afnemen mag.  </w:t>
      </w:r>
      <w:r>
        <w:rPr>
          <w:b w:val="0"/>
          <w:color w:val="5A6A78"/>
          <w:sz w:val="18"/>
        </w:rPr>
        <w:t>Beide handleidingen staan mondelinge afname toe. Voorwaarde: dezelfde afnamewijze in beide armen en over de hele looptijd.</w:t>
      </w:r>
    </w:p>
    <w:p>
      <w:pPr>
        <w:spacing w:after="80"/>
        <w:ind w:left="397" w:hanging="397"/>
      </w:pPr>
      <w:r>
        <w:rPr>
          <w:b/>
          <w:color w:val="FF7A00"/>
          <w:sz w:val="18"/>
        </w:rPr>
        <w:t xml:space="preserve">•  </w:t>
      </w:r>
      <w:r>
        <w:rPr>
          <w:b/>
          <w:color w:val="1B2630"/>
          <w:sz w:val="18"/>
        </w:rPr>
        <w:t xml:space="preserve">De verandering-vraag zit al goed in het dagboek.  </w:t>
      </w:r>
      <w:r>
        <w:rPr>
          <w:b w:val="0"/>
          <w:color w:val="5A6A78"/>
          <w:sz w:val="18"/>
        </w:rPr>
        <w:t>45b vraagt voor medicatie, thuisverpleging en thuiszorg alleen wat veranderde; consultaties, aankopen en opnames worden telkens genoteerd. Dagboek 45 dekt de baseline, met drie maanden terugblik voor consultaties en aankopen.</w:t>
      </w:r>
    </w:p>
    <w:p>
      <w:pPr>
        <w:spacing w:after="80"/>
        <w:ind w:left="397" w:hanging="397"/>
      </w:pPr>
      <w:r>
        <w:rPr>
          <w:b/>
          <w:color w:val="FF7A00"/>
          <w:sz w:val="18"/>
        </w:rPr>
        <w:t xml:space="preserve">•  </w:t>
      </w:r>
      <w:r>
        <w:rPr>
          <w:b/>
          <w:color w:val="1B2630"/>
          <w:sz w:val="18"/>
        </w:rPr>
        <w:t xml:space="preserve">Het protocol wijst het dagboek al als leidend aan.  </w:t>
      </w:r>
      <w:r>
        <w:rPr>
          <w:b w:val="0"/>
          <w:color w:val="5A6A78"/>
          <w:sz w:val="18"/>
        </w:rPr>
        <w:t>“Diary data will be reviewed and complemented with a standardized questionnaire to ensure completeness and consistency.” Open blijft alleen de regel bij tegenspraak: welke waarde gaat in de kostenberekening?</w:t>
      </w:r>
    </w:p>
    <w:p>
      <w:pPr>
        <w:spacing w:before="200" w:after="0"/>
      </w:pPr>
      <w:r>
        <w:rPr>
          <w:b w:val="0"/>
          <w:color w:val="5A6A78"/>
          <w:sz w:val="15"/>
        </w:rPr>
        <w:t>Bron: manuscript, protocol, eCRF-set, instrument_event_mapping.csv en PARADISE_taakverdeling_tot_start.docx, nagekeken 24 september 2026. KCE-rapport 400, richtlijnen 3, 9, 10, 11, 12, 14 en 16.3. Afnamewijze en terugblik: iMTA-handleidingen.</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