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 Leuven, Department of Rehabilitation Sciences</w:t>
      </w:r>
    </w:p>
    <w:p>
      <w:r>
        <w:t>Spoorwegstraat 12, 8200 Bruges, Belgium</w:t>
      </w:r>
    </w:p>
    <w:p>
      <w:r>
        <w:t>janou.debuyser@kuleuven.be</w:t>
      </w:r>
    </w:p>
    <w:p/>
    <w:p>
      <w:r>
        <w:t>▮ (date)</w:t>
      </w:r>
    </w:p>
    <w:p/>
    <w:p>
      <w:r>
        <w:t>The Editor</w:t>
      </w:r>
    </w:p>
    <w:p>
      <w:r>
        <w:t>BMJ Open</w:t>
      </w:r>
    </w:p>
    <w:p/>
    <w:p>
      <w:r>
        <w:t>Dear Editor,</w:t>
      </w:r>
    </w:p>
    <w:p>
      <w:r>
        <w:t>Please consider the enclosed manuscript, "Integrating offloading, adherence monitoring and behaviour change to prevent diabetic foot ulcer recurrence: protocol for the PARADISE multicentre randomised controlled trial", for publication as a protocol in BMJ Open.</w:t>
      </w:r>
    </w:p>
    <w:p>
      <w:r>
        <w:t>About 40% of people with diabetes develop a new foot ulcer within a year of healing. Custom footwear optimised with in-shoe pressure measurement has reduced recurrence only in those who wore it, and education alone has not prevented it. PARADISE tests, in three academic and three non-academic Belgian diabetic foot clinics, whether a service that verifies offloading at every assessment, measures footwear use with a sensor and uses each patient's own wear data in structured counselling reduces recurrence over 18 months when delivered by the clinics' own teams.</w:t>
      </w:r>
    </w:p>
    <w:p>
      <w:r>
        <w:t>We think the protocol will interest your readers for three reasons. It sets out a causal model linking offloading, footwear adherence and cumulative plantar tissue stress, and measures each link, so that a null result can be traced to the step that failed. It specifies estimands for both the primary outcome and the mediator, including the treatment of ulceration as an intercurrent event for adherence. And it maps every step of the behavioural programme to the COM-B model and to coded behaviour change techniques, with a fidelity checklist for delivery.</w:t>
      </w:r>
    </w:p>
    <w:p>
      <w:r>
        <w:t>Planned study dates: recruitment is expected to start in February 2027, after a go/no-go decision on 23 February 2027, and to last 12 months; follow-up of the last participant is expected to end in August 2029. Recruitment has not started and no outcome data have been collected.</w:t>
      </w:r>
    </w:p>
    <w:p>
      <w:r>
        <w:t>The trial is registered at ClinicalTrials.gov (▮) and was approved by the Ethics Committee of University Hospitals Leuven (S71769, ▮ date). It is funded by the Research Foundation – Flanders (FWO, T000226N). The completed SPIRIT 2025 and TIDieR checklists are provided as online supplemental files.</w:t>
      </w:r>
    </w:p>
    <w:p>
      <w:r>
        <w:t>The manuscript has not been published or submitted elsewhere. All authors have approved the submission and declare no competing interests.</w:t>
      </w:r>
    </w:p>
    <w:p>
      <w:r>
        <w:t>Yours sincerely,</w:t>
      </w:r>
    </w:p>
    <w:p>
      <w:r>
        <w:t>Janou De Buyser, on behalf of all authors</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