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 xml:space="preserve">recognized</w:t>
      </w:r>
      <w:r w:rsidRPr="00D1417A">
        <w:rPr>
          <w:lang w:val="en-GB"/>
        </w:rPr>
        <w:t xml:space="preserve"> lower-extremity complication of diabetes, affecting 19%</w:t>
      </w:r>
      <w:r w:rsidR="00297F20">
        <w:rPr>
          <w:lang w:val="en-GB"/>
        </w:rPr>
        <w:t xml:space="preserve">–</w:t>
      </w:r>
      <w:r w:rsidRPr="00D1417A">
        <w:rPr>
          <w:lang w:val="en-GB"/>
        </w:rPr>
        <w:t xml:space="preserve">34% of </w:t>
      </w:r>
      <w:r w:rsidR="00297F20">
        <w:rPr>
          <w:lang w:val="en-GB"/>
        </w:rPr>
        <w:t xml:space="preserve">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 xml:space="preserve">receives</w:t>
      </w:r>
      <w:r w:rsidRPr="00D1417A">
        <w:rPr>
          <w:lang w:val="en-GB"/>
        </w:rPr>
        <w:t xml:space="preserve">. Five-year mortality among </w:t>
      </w:r>
      <w:r w:rsidR="00297F20">
        <w:rPr>
          <w:lang w:val="en-GB"/>
        </w:rPr>
        <w:t xml:space="preserve">individuals</w:t>
      </w:r>
      <w:r w:rsidRPr="00D1417A">
        <w:rPr>
          <w:lang w:val="en-GB"/>
        </w:rPr>
        <w:t xml:space="preserve"> with a diabetes-related foot ulcer is 2.5 times that of </w:t>
      </w:r>
      <w:r w:rsidR="00297F20">
        <w:rPr>
          <w:lang w:val="en-GB"/>
        </w:rPr>
        <w:t xml:space="preserve">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five-year mortality following diabetes-related amputation exceeds 70% [1]. </w:t>
      </w:r>
      <w:r w:rsidR="00297F20">
        <w:rPr>
          <w:lang w:val="en-GB"/>
        </w:rPr>
        <w:t xml:space="preserve">The direct</w:t>
      </w:r>
      <w:r w:rsidRPr="00D1417A">
        <w:rPr>
          <w:lang w:val="en-GB"/>
        </w:rPr>
        <w:t xml:space="preserve"> treatment costs for diabetic foot complications exceed those of many common cancers [1].</w:t>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[2].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[3], applied within the state-of-the-art design protocol that specifies modification whenever midfoot or forefoot peak pressure exceeds 200 kPa [4]; pressure-informed therapeutic footwear is standard of care after ulceration [5].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[6]. Benefits appeared only among the 46% of participants who wore the footwear as prescribed: recurrence in that subgroup was 25.7% with improved footwear versus 47.8% with usual care (odds ratio 0.38, 95% CI 0.15–0.99, p = 0.045) [6]. Accordingly, the trial's conclusion was conditional: improved offloading does not reduce recurrence unless it is worn as recommended [6].</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[7]. The most rigorous individual trial evaluating a structured single educational session found no reduction in ulceration at either six or twelve months [8].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[9].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[10]; fewer than one-third of patients wear prescribed footwear more than 80% of the time [6,10].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[11].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[12].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[13].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[1,14].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[15],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[16].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[8].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[7].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[17].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[6], whereas adherence-monitoring approaches have mainly been evaluated in other healthcare systems, with challenges in implementation reported [15].</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[9].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[18].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[19]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[20]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[21].</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spacing w:after="140" w:line="276" w:lineRule="auto"/>
        <w:jc w:val="both"/>
        <w:rPr>
          <w:lang w:val="en-GB"/>
        </w:rPr>
      </w:pPr>
      <w:r w:rsidRPr="00D1417A">
        <w:rPr>
          <w:lang w:val="en-GB"/>
        </w:rPr>
        <w:t xml:space="preserve">#### 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spacing w:after="140" w:line="276" w:lineRule="auto"/>
        <w:jc w:val="both"/>
        <w:rPr>
          <w:lang w:val="en-GB"/>
        </w:rPr>
      </w:pPr>
      <w:r w:rsidRPr="00D1417A">
        <w:rPr>
          <w:lang w:val="en-GB"/>
        </w:rPr>
        <w:t xml:space="preserve">#### 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[5]: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spacing w:after="140" w:line="276" w:lineRule="auto"/>
        <w:jc w:val="both"/>
        <w:rPr>
          <w:lang w:val="en-GB"/>
        </w:rPr>
      </w:pPr>
      <w:r w:rsidRPr="00D1417A">
        <w:rPr>
          <w:lang w:val="en-GB"/>
        </w:rPr>
        <w:t xml:space="preserve">#### 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[4].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[4] and the optimisation criteria validated in that group’s earlier work [3],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[22]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[10]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[23];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[24],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[25].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[1,14],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[26];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[27];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w:t>
      </w:r>
      <w:r w:rsidRPr="00D1417A">
        <w:rPr>
          <w:lang w:val="en-GB"/>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w:t>
      </w:r>
      <w:proofErr w:type="spellStart"/>
      <w:r w:rsidRPr="00D1417A">
        <w:rPr>
          <w:lang w:val="en-GB"/>
        </w:rPr>
        <w:t xml:space="preserve">MoveMonitor</w:t>
      </w:r>
      <w:proofErr w:type="spellEnd"/>
      <w:r w:rsidRPr="00D1417A">
        <w:rPr>
          <w:lang w:val="en-GB"/>
        </w:rPr>
        <w:t xml:space="preserve"> activity profiling and continuous Orthotimer wear-time recording. Because in-shoe pressure is measured at three timepoints while activity and wear time are recorded continuously, pressure is carried forward between measurement</w:t>
      </w:r>
      <w:r w:rsidRPr="00D1417A">
        <w:rPr>
          <w:lang w:val="en-GB"/>
        </w:rPr>
        <w:t xml:space="preserve">s; this approximation is stated explicitly and its influence examined by restricting analysis to the intervals immediately surrounding each pressure measurement.</w:t>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[6]</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[6,10],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[10]. Anticipating an increase to 85% under PARADISE — comparable in magnitude to the improvement observed when adherence was actively targeted in prior work [28]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[6],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[12],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[29],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[30].</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[30].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[31].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[32].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[33],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[34]; and guideline-based care was cost-effective over a lifetime horizon at under US$25,000 per QALY gained [35].</w:t>
      </w:r>
      <w:r w:rsidR="009A189C">
        <w:rPr>
          <w:lang w:val="en-GB"/>
        </w:rPr>
        <w:t xml:space="preserve"/>
      </w:r>
      <w:r w:rsidRPr="00D1417A">
        <w:rPr>
          <w:lang w:val="en-GB"/>
        </w:rPr>
        <w:t xml:space="preserve"> A trial-based evaluation of at-home temperature monitoring in the same population and over the same 18-month horizon reported an ICER of €−11,580 per ulcer prevented with a 79% probability of cost-effectiveness [36]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[37]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[6,8],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[18].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[6]. Patient education, delivered conventionally, has shown no protective effect at all [1,7,8]. Objective adherence monitoring has been validated as a measurement technique [15] </w:t>
      </w:r>
      <w:r w:rsidRPr="00D1417A">
        <w:rPr>
          <w:lang w:val="en-GB"/>
        </w:rPr>
        <w:t xml:space="preserve">but implemented with only moderate success where it has been tried [15]. Continuous digital pressure feedback reduced recurrence in a proof-of-concept trial, again principally among adherent users [9].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[1,14]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[12], and the strongest evidence linking it to future ulceration remains observational and twelve months long [13].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[4].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[12];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 xml:space="preserve">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 xml:space="preserve">2. Bus SA, van Netten JJ. A shift in priority in diabetic foot care and research: 75% of foot ulcers are preventable. Diabetes Metab Res Rev. 2016;32(Suppl 1):195–200. doi:10.1002/dmrr.2738</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 xml:space="preserve">3.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 xml:space="preserve">4. Bus SA, Zwaferink JB, Dahmen R, Busch-Westbroek T. State of the art design protocol for custom made footwear for people with diabetes and peripheral neuropathy. Diabetes Metab Res Rev. 2020;36(S1):e3237. doi:10.1002/dmrr.3237</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 xml:space="preserve">5.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 xml:space="preserve">6. Bus SA, Waaijman R, Arts M, de Haart M, Busch-Westbroek T, van Baal J, et al. Effect of custom-made footwear on foot ulcer recurrence in diabetes: a multicenter randomized controlled trial. Diabetes Care. 2013;36(12):4109–4116. doi:10.2337/dc13-0996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 xml:space="preserve">7. van Netten JJ, Price PE, Lavery LA, Monteiro-Soares M, Rasmussen A, Jubiz Y, et al. Prevention of foot ulcers in the at-risk patient with diabetes: a systematic review. Diabetes Metab Res Rev. 2016;32(Suppl 1):84–98. doi:10.1002/dmrr.2701</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 xml:space="preserve">8. Lincoln NB, Radford KA, Game FL, Jeffcoate WJ. Education for secondary prevention of foot ulcers in people with diabetes: a randomised controlled trial. Diabetologia. 2008;51(11):1954–1961. doi:10.1007/s00125-008-1110-0</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 xml:space="preserve">9.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 xml:space="preserve">10. Waaijman R, Keukenkamp R, de Haart M, Polomski WP, Nollet F, Bus SA. Adherence to wearing prescription custom-made footwear in patients with diabetes at high risk for plantar foot ulceration. Diabetes Care. 2013;36(6):1613–1618. doi:10.2337/dc12-1330</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 xml:space="preserve">11. van Netten JJ, van Baal JG, Bril A, Wissink M, Bus SA. An exploratory study on differences in cumulative plantar tissue stress between healing and non-healing plantar neuropathic diabetic foot ulcers. Clin Biomech. 2018;53:86–92. doi:10.1016/j.clinbiomech.2018.02.012</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 xml:space="preserve">12.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 xml:space="preserve">13.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 xml:space="preserve">14.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 xml:space="preserve">15.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 xml:space="preserve">16. Michie S, van Stralen MM, West R. The behaviour change wheel: a new method for characterising and designing behaviour change interventions. Implement Sci. 2011;6:42. doi:10.1186/1748-5908-6-42</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 xml:space="preserve">17. Morbach S, Kersken J, Lobmann R, Nobels F, Doggen K, Van Acker K. The German and Belgian accreditation models for diabetic foot services. Diabetes Metab Res Rev. 2016;32(Suppl 1):318–325. doi:10.1002/dmrr.2752</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 xml:space="preserve">18. Chan A-W, Boutron I, Hopewell S, Moher D, Schulz KF, Collins GS, et al. SPIRIT 2025 statement: updated guideline for protocols of randomised trials. BMJ. 2025;389:e081477. doi:10.1136/bmj-2024-081477</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 xml:space="preserve">19. Hoffmann TC, Glasziou PP, Boutron I, Milne R, Perera R, Moher D, et al. Better reporting of interventions: template for intervention description and replication (TIDieR) checklist and guide. BMJ. 2014;348:g1687. doi:10.1136/bmj.g1687</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 xml:space="preserve">20. Loudon K, Treweek S, Sullivan F, Donnan PT, Thorpe KE, Zwarenstein M. The PRECIS-2 tool: designing trials that are fit for purpose. BMJ. 2015;350:h2147. doi:10.1136/bmj.h2147</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 xml:space="preserve">21. Hopewell S, Chan A-W, Collins GS, Hróbjartsson A, Moher D, Schulz KF, et al. CONSORT 2025 statement: updated guideline for reporting randomised trials. BMJ. 2025;389:e081123. doi:10.1136/bmj-2024-081123</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 xml:space="preserve">22. Lincoln NB, Jeffcoate WJ, Ince P, Smith M, Radford KA. Validation of a new measure of protective footcare behaviour: the Nottingham Assessment of Functional Footcare (NAFF). Practical Diabetes International. 2007;24(4):207–211. doi:10.1002/pdi.1099</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 xml:space="preserve">23. Zwaferink JBJ, Nollet F, Bus SA. In-shoe pressure measurements in diabetic footwear practice: success rate and facilitators of and barriers to implementation. Sensors. 2024;24(6):1795. doi:10.3390/s24061795</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 xml:space="preserve">24.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 xml:space="preserve">25. van Netten JJ, Bus SA, Apelqvist J, Chen P, Chuter V, Fitridge R, et al. Definitions and criteria for diabetes-related foot disease (IWGDF 2023 update). Diabetes Metab Res Rev. 2024;40(3):e3654. doi:10.1002/dmrr.3654</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 xml:space="preserve">26. Dahmen R, Siemonsma PC, Monteiro S, Roorda LD, Lankhorst GJ, Boers M. Evaluation of the wear-and-tear scale for therapeutic footwear: results of a generalizability study. J Rehabil Med. 2018;50(6):569–574. doi:10.2340/16501977-2339</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 xml:space="preserve">27. Staniszewska A, Game F, Nixon J, Russell D, Armstrong DG, Ashmore C, et al. Development of a core outcome set for studies assessing interventions for diabetes-related foot ulceration. Diabetes Care. 2024;47(11):1958–1968. doi:10.2337/dc24-1112</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 xml:space="preserve">28. Keukenkamp R, van Netten JJ, Busch-Westbroek TE, Bus SA. Custom-made footwear designed for indoor use increases short-term and long-term adherence in people with diabetes at high ulcer risk. BMJ Open Diabetes Res Care. 2022;10(1):e002593. doi:10.1136/bmjdrc-2021-002593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 xml:space="preserve">29.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 xml:space="preserve">30.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 xml:space="preserve">31. Husereau D, Drummond M, Petrou S, Carswell C, Moher D, Greenberg D, et al. Consolidated Health Economic Evaluation Reporting Standards (CHEERS) statement. Pharmacoeconomics. 2013;31(5):361–367. doi:10.1007/s40273-013-0032-y</w:t>
      </w:r>
    </w:p>
    <w:p ns2:paraId="11F664E0" ns2:textId="77777777" w:rsidR="00D47670" w:rsidRDefault="00A02229">
      <w:pPr>
        <w:spacing w:after="100"/>
        <w:ind w:left="454" w:hanging="454"/>
      </w:pPr>
      <w:r w:rsidRPr="00D1417A">
        <w:rPr>
          <w:sz w:val="20"/>
          <w:szCs w:val="20"/>
          <w:lang w:val="en-GB"/>
        </w:rPr>
        <w:t xml:space="preserve">32. Hakkaart-van Roijen L, Peeters S, Kanters T. Kostenhandleiding voor economische evaluaties in de gezondheidszorg: methodologie en referentieprijzen. Diemen: Zorginstituut Nederland; 2024.</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 xml:space="preserve">33. Prompers L, Huijberts M, Schaper N, Apelqvist J, Bakker K, Edmonds M, et al. Resource utilisation and costs associated with the treatment of diabetic foot ulcers. Prospective data from the Eurodiale Study. Diabetologia. 2008;51(10):1826–1834. doi:10.1007/s00125-008-1089-6</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 xml:space="preserve">34. Ragnarson Tennvall G, Apelqvist J. Prevention of diabetes-related foot ulcers and amputations: a cost-utility analysis based on Markov model simulations. Diabetologia. 2001;44(11):2077–2087. doi:10.1007/s001250100013</w:t>
      </w:r>
    </w:p>
    <w:p ns2:paraId="11F664E3" ns2:textId="77777777" w:rsidR="00D47670" w:rsidRPr="00D1417A" w:rsidRDefault="00A02229">
      <w:pPr>
        <w:rPr>
          <w:lang w:val="en-GB"/>
        </w:rPr>
      </w:pPr>
      <w:r w:rsidRPr="00D1417A">
        <w:rPr>
          <w:sz w:val="20"/>
          <w:lang w:val="en-GB"/>
        </w:rPr>
        <w:t xml:space="preserve">35. Ortegon MM, Redekop WK, Niessen LW. Cost-effectiveness of prevention and treatment of the diabetic foot: a Markov analysis. Diabetes Care. 2004;27(4):901–907. doi:10.2337/diacare.27.4.901</w:t>
      </w:r>
    </w:p>
    <w:p ns2:paraId="11F664E4" ns2:textId="7685600F" w:rsidR="00D47670" w:rsidRPr="00D1417A" w:rsidRDefault="00A02229">
      <w:pPr>
        <w:rPr>
          <w:lang w:val="en-GB"/>
        </w:rPr>
      </w:pPr>
      <w:r w:rsidRPr="00D1417A">
        <w:rPr>
          <w:sz w:val="20"/>
          <w:lang w:val="en-GB"/>
        </w:rPr>
        <w:t xml:space="preserve">36.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 xml:space="preserve">37.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