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Hoort bij eCRF 09 (drukmeting baseline) en eCRF 24 (drukherverdeling voetorthese). Software: novel studio v1.20.0.340.</w:t>
      </w:r>
    </w:p>
    <w:p>
      <w:pPr>
        <w:keepNext/>
        <w:spacing w:before="200" w:after="80"/>
      </w:pPr>
      <w:r>
        <w:rPr>
          <w:b/>
          <w:sz w:val="24"/>
        </w:rPr>
        <w:t>1. De opstelling</w:t>
      </w:r>
    </w:p>
    <w:p>
      <w:pPr>
        <w:keepNext/>
        <w:spacing w:before="160"/>
      </w:pPr>
      <w:r>
        <w:rPr>
          <w:b/>
          <w:sz w:val="18"/>
        </w:rPr>
        <w:t>Figure 1: De router op de rand van het looppad</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sz w:val="24"/>
        </w:rPr>
        <w:t>2. De juiste zool kiezen — dit is de belangrijkste stap</w:t>
      </w:r>
    </w:p>
    <w:p>
      <w:r>
        <w:rPr>
          <w:b/>
          <w:i w:val="0"/>
          <w:sz w:val="20"/>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sz w:val="18"/>
        </w:rPr>
        <w:t>Figure 2: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2" name="Picture 2"/>
            <wp:cNvGraphicFramePr>
              <a:graphicFrameLocks noChangeAspect="1"/>
            </wp:cNvGraphicFramePr>
            <a:graphic>
              <a:graphicData uri="http://schemas.openxmlformats.org/drawingml/2006/picture">
                <pic:pic>
                  <pic:nvPicPr>
                    <pic:cNvPr id="0" name="20260910_101052.jpg"/>
                    <pic:cNvPicPr/>
                  </pic:nvPicPr>
                  <pic:blipFill>
                    <a:blip r:embed="rId11"/>
                    <a:stretch>
                      <a:fillRect/>
                    </a:stretch>
                  </pic:blipFill>
                  <pic:spPr>
                    <a:xfrm>
                      <a:off x="0" y="0"/>
                      <a:ext cx="2880000" cy="2160000"/>
                    </a:xfrm>
                    <a:prstGeom prst="rect"/>
                  </pic:spPr>
                </pic:pic>
              </a:graphicData>
            </a:graphic>
          </wp:inline>
        </w:drawing>
      </w:r>
    </w:p>
    <w:p>
      <w:pPr>
        <w:ind w:left="340"/>
      </w:pPr>
      <w:r>
        <w:rPr>
          <w:b w:val="0"/>
          <w:i w:val="0"/>
          <w:sz w:val="20"/>
        </w:rPr>
        <w:t>Het label leest van links naar rechts: de maat (XW), het volgnummer van deze zool (830) en de kant (R). Dat is precies de code die in de naam van het configuratiebestand terugkomt: plidar-G026R_xw830R.</w:t>
      </w:r>
    </w:p>
    <w:p>
      <w:r>
        <w:rPr>
          <w:b w:val="0"/>
          <w:i w:val="0"/>
          <w:sz w:val="20"/>
        </w:rPr>
      </w:r>
    </w:p>
    <w:p>
      <w:r>
        <w:rPr>
          <w:b/>
          <w:i w:val="0"/>
          <w:sz w:val="20"/>
        </w:rPr>
        <w:t>De studie heeft vijf maten in huis, allemaal wide (W):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247"/>
          </w:tcPr>
          <w:p>
            <w:r/>
            <w:r>
              <w:rPr>
                <w:b/>
                <w:sz w:val="18"/>
              </w:rPr>
              <w:t>Maat</w:t>
            </w:r>
          </w:p>
        </w:tc>
        <w:tc>
          <w:tcPr>
            <w:tcW w:type="dxa" w:w="1928"/>
          </w:tcPr>
          <w:p>
            <w:r/>
            <w:r>
              <w:rPr>
                <w:b/>
                <w:sz w:val="18"/>
              </w:rPr>
              <w:t>EU-schoenmaat</w:t>
            </w:r>
          </w:p>
        </w:tc>
        <w:tc>
          <w:tcPr>
            <w:tcW w:type="dxa" w:w="2268"/>
          </w:tcPr>
          <w:p>
            <w:r/>
            <w:r>
              <w:rPr>
                <w:b/>
                <w:sz w:val="18"/>
              </w:rPr>
              <w:t>Zool links</w:t>
            </w:r>
          </w:p>
        </w:tc>
        <w:tc>
          <w:tcPr>
            <w:tcW w:type="dxa" w:w="2268"/>
          </w:tcPr>
          <w:p>
            <w:r/>
            <w:r>
              <w:rPr>
                <w:b/>
                <w:sz w:val="18"/>
              </w:rPr>
              <w:t>Zool rechts</w:t>
            </w:r>
          </w:p>
        </w:tc>
      </w:tr>
      <w:tr>
        <w:tc>
          <w:tcPr>
            <w:tcW w:type="dxa" w:w="1247"/>
          </w:tcPr>
          <w:p>
            <w:r/>
            <w:r>
              <w:rPr>
                <w:sz w:val="18"/>
              </w:rPr>
              <w:t>UW</w:t>
            </w:r>
          </w:p>
        </w:tc>
        <w:tc>
          <w:tcPr>
            <w:tcW w:type="dxa" w:w="1928"/>
          </w:tcPr>
          <w:p>
            <w:r/>
            <w:r>
              <w:rPr>
                <w:sz w:val="18"/>
              </w:rPr>
              <w:t>36/37</w:t>
            </w:r>
          </w:p>
        </w:tc>
        <w:tc>
          <w:tcPr>
            <w:tcW w:type="dxa" w:w="2268"/>
          </w:tcPr>
          <w:p>
            <w:r/>
            <w:r>
              <w:rPr>
                <w:sz w:val="18"/>
              </w:rPr>
              <w:t>UW.389L</w:t>
            </w:r>
          </w:p>
        </w:tc>
        <w:tc>
          <w:tcPr>
            <w:tcW w:type="dxa" w:w="2268"/>
          </w:tcPr>
          <w:p>
            <w:r/>
            <w:r>
              <w:rPr>
                <w:sz w:val="18"/>
              </w:rPr>
              <w:t>UW.384R</w:t>
            </w:r>
          </w:p>
        </w:tc>
      </w:tr>
      <w:tr>
        <w:tc>
          <w:tcPr>
            <w:tcW w:type="dxa" w:w="1247"/>
          </w:tcPr>
          <w:p>
            <w:r/>
            <w:r>
              <w:rPr>
                <w:sz w:val="18"/>
              </w:rPr>
              <w:t>VW</w:t>
            </w:r>
          </w:p>
        </w:tc>
        <w:tc>
          <w:tcPr>
            <w:tcW w:type="dxa" w:w="1928"/>
          </w:tcPr>
          <w:p>
            <w:r/>
            <w:r>
              <w:rPr>
                <w:sz w:val="18"/>
              </w:rPr>
              <w:t>38/39</w:t>
            </w:r>
          </w:p>
        </w:tc>
        <w:tc>
          <w:tcPr>
            <w:tcW w:type="dxa" w:w="2268"/>
          </w:tcPr>
          <w:p>
            <w:r/>
            <w:r>
              <w:rPr>
                <w:sz w:val="18"/>
              </w:rPr>
              <w:t>VW.607L</w:t>
            </w:r>
          </w:p>
        </w:tc>
        <w:tc>
          <w:tcPr>
            <w:tcW w:type="dxa" w:w="2268"/>
          </w:tcPr>
          <w:p>
            <w:r/>
            <w:r>
              <w:rPr>
                <w:sz w:val="18"/>
              </w:rPr>
              <w:t>VW.606R</w:t>
            </w:r>
          </w:p>
        </w:tc>
      </w:tr>
      <w:tr>
        <w:tc>
          <w:tcPr>
            <w:tcW w:type="dxa" w:w="1247"/>
          </w:tcPr>
          <w:p>
            <w:r/>
            <w:r>
              <w:rPr>
                <w:sz w:val="18"/>
              </w:rPr>
              <w:t>WW</w:t>
            </w:r>
          </w:p>
        </w:tc>
        <w:tc>
          <w:tcPr>
            <w:tcW w:type="dxa" w:w="1928"/>
          </w:tcPr>
          <w:p>
            <w:r/>
            <w:r>
              <w:rPr>
                <w:sz w:val="18"/>
              </w:rPr>
              <w:t>40/41</w:t>
            </w:r>
          </w:p>
        </w:tc>
        <w:tc>
          <w:tcPr>
            <w:tcW w:type="dxa" w:w="2268"/>
          </w:tcPr>
          <w:p>
            <w:r/>
            <w:r>
              <w:rPr>
                <w:sz w:val="18"/>
              </w:rPr>
              <w:t>WW.727L</w:t>
            </w:r>
          </w:p>
        </w:tc>
        <w:tc>
          <w:tcPr>
            <w:tcW w:type="dxa" w:w="2268"/>
          </w:tcPr>
          <w:p>
            <w:r/>
            <w:r>
              <w:rPr>
                <w:sz w:val="18"/>
              </w:rPr>
              <w:t>WW.728R</w:t>
            </w:r>
          </w:p>
        </w:tc>
      </w:tr>
      <w:tr>
        <w:tc>
          <w:tcPr>
            <w:tcW w:type="dxa" w:w="1247"/>
          </w:tcPr>
          <w:p>
            <w:r/>
            <w:r>
              <w:rPr>
                <w:sz w:val="18"/>
              </w:rPr>
              <w:t>XW</w:t>
            </w:r>
          </w:p>
        </w:tc>
        <w:tc>
          <w:tcPr>
            <w:tcW w:type="dxa" w:w="1928"/>
          </w:tcPr>
          <w:p>
            <w:r/>
            <w:r>
              <w:rPr>
                <w:sz w:val="18"/>
              </w:rPr>
              <w:t>42/43</w:t>
            </w:r>
          </w:p>
        </w:tc>
        <w:tc>
          <w:tcPr>
            <w:tcW w:type="dxa" w:w="2268"/>
          </w:tcPr>
          <w:p>
            <w:r/>
            <w:r>
              <w:rPr>
                <w:sz w:val="18"/>
              </w:rPr>
              <w:t>XW.831L</w:t>
            </w:r>
          </w:p>
        </w:tc>
        <w:tc>
          <w:tcPr>
            <w:tcW w:type="dxa" w:w="2268"/>
          </w:tcPr>
          <w:p>
            <w:r/>
            <w:r>
              <w:rPr>
                <w:sz w:val="18"/>
              </w:rPr>
              <w:t>XW.830R</w:t>
            </w:r>
          </w:p>
        </w:tc>
      </w:tr>
      <w:tr>
        <w:tc>
          <w:tcPr>
            <w:tcW w:type="dxa" w:w="1247"/>
          </w:tcPr>
          <w:p>
            <w:r/>
            <w:r>
              <w:rPr>
                <w:sz w:val="18"/>
              </w:rPr>
              <w:t>YW</w:t>
            </w:r>
          </w:p>
        </w:tc>
        <w:tc>
          <w:tcPr>
            <w:tcW w:type="dxa" w:w="1928"/>
          </w:tcPr>
          <w:p>
            <w:r/>
            <w:r>
              <w:rPr>
                <w:sz w:val="18"/>
              </w:rPr>
              <w:t>44/45</w:t>
            </w:r>
          </w:p>
        </w:tc>
        <w:tc>
          <w:tcPr>
            <w:tcW w:type="dxa" w:w="2268"/>
          </w:tcPr>
          <w:p>
            <w:r/>
            <w:r>
              <w:rPr>
                <w:sz w:val="18"/>
              </w:rPr>
              <w:t>YW.709L</w:t>
            </w:r>
          </w:p>
        </w:tc>
        <w:tc>
          <w:tcPr>
            <w:tcW w:type="dxa" w:w="2268"/>
          </w:tcPr>
          <w:p>
            <w:r/>
            <w:r>
              <w:rPr>
                <w:sz w:val="18"/>
              </w:rPr>
              <w:t>YW.712R</w:t>
            </w:r>
          </w:p>
        </w:tc>
      </w:tr>
    </w:tbl>
    <w:p/>
    <w:p>
      <w:r>
        <w:rPr>
          <w:b w:val="0"/>
          <w:i/>
          <w:sz w:val="20"/>
        </w:rPr>
        <w:t>De EU-maten komen uit de pedar® Insole Catalogue van novel gmbh. Elke maat dekt twee schoenmaten.</w:t>
      </w:r>
    </w:p>
    <w:p>
      <w:r>
        <w:rPr>
          <w:b/>
          <w:i w:val="0"/>
          <w:sz w:val="20"/>
        </w:rPr>
        <w:t>Schoenmaat 46 en groter wordt gemeten met YW, de grootste maat die er is. De zool in de schoen vangt het maatverschil in de praktijk op. Schoenmaat is dus geen reden om een deelnemer niet te meten.</w:t>
      </w:r>
    </w:p>
    <w:p>
      <w:r>
        <w:rPr>
          <w:b w:val="0"/>
          <w:i w:val="0"/>
          <w:sz w:val="20"/>
        </w:rPr>
      </w:r>
    </w:p>
    <w:p>
      <w:pPr>
        <w:ind w:left="397" w:hanging="397"/>
      </w:pPr>
      <w:r>
        <w:rPr>
          <w:b/>
        </w:rPr>
        <w:t xml:space="preserve">4. </w:t>
      </w:r>
      <w:r>
        <w:t>Vraag de schoenmaat van de deelnemer en kies de zool uit de tabel hierboven.</w:t>
      </w:r>
    </w:p>
    <w:p>
      <w:pPr>
        <w:ind w:left="397" w:hanging="397"/>
      </w:pPr>
      <w:r>
        <w:rPr>
          <w:b/>
        </w:rPr>
        <w:t xml:space="preserve">5. </w:t>
      </w:r>
      <w:r>
        <w:t>Lees het label op de zool en noteer de volledige code, bijvoorbeeld XW.830R, op het formulier. Je hebt ze straks nodig om het configuratiebestand te kiezen.</w:t>
      </w:r>
    </w:p>
    <w:p>
      <w:pPr>
        <w:ind w:left="397" w:hanging="397"/>
      </w:pPr>
      <w:r>
        <w:rPr>
          <w:b/>
        </w:rPr>
        <w:t xml:space="preserve">6. </w:t>
      </w:r>
      <w:r>
        <w:t>Controleer dat je een linker- en een rechterzool van dezelfde maat neemt.</w:t>
      </w:r>
    </w:p>
    <w:p>
      <w:pPr>
        <w:keepNext/>
        <w:spacing w:before="200" w:after="80"/>
      </w:pPr>
      <w:r>
        <w:rPr>
          <w:b/>
          <w:sz w:val="24"/>
        </w:rPr>
        <w:t>3. Aansluiten en aanzetten</w:t>
      </w:r>
    </w:p>
    <w:p>
      <w:pPr>
        <w:keepNext/>
        <w:spacing w:before="160"/>
      </w:pPr>
      <w:r>
        <w:rPr>
          <w:b/>
          <w:sz w:val="18"/>
        </w:rPr>
        <w:t>Figure 3: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3" name="Picture 3"/>
            <wp:cNvGraphicFramePr>
              <a:graphicFrameLocks noChangeAspect="1"/>
            </wp:cNvGraphicFramePr>
            <a:graphic>
              <a:graphicData uri="http://schemas.openxmlformats.org/drawingml/2006/picture">
                <pic:pic>
                  <pic:nvPicPr>
                    <pic:cNvPr id="0" name="20260910_101023.jpg"/>
                    <pic:cNvPicPr/>
                  </pic:nvPicPr>
                  <pic:blipFill>
                    <a:blip r:embed="rId12"/>
                    <a:stretch>
                      <a:fillRect/>
                    </a:stretch>
                  </pic:blipFill>
                  <pic:spPr>
                    <a:xfrm>
                      <a:off x="0" y="0"/>
                      <a:ext cx="2880000" cy="2158276"/>
                    </a:xfrm>
                    <a:prstGeom prst="rect"/>
                  </pic:spPr>
                </pic:pic>
              </a:graphicData>
            </a:graphic>
          </wp:inline>
        </w:drawing>
      </w:r>
    </w:p>
    <w:p>
      <w:pPr>
        <w:ind w:left="397" w:hanging="397"/>
      </w:pPr>
      <w:r>
        <w:rPr>
          <w:b/>
        </w:rPr>
        <w:t xml:space="preserve">7. </w:t>
      </w:r>
      <w:r>
        <w:t>Sluit de linkerzool aan op de zender met L in de naam, en de rechterzool op die met R. De letter op de connector en op de zender moeten overeenkomen.</w:t>
      </w:r>
    </w:p>
    <w:p>
      <w:pPr>
        <w:ind w:left="397" w:hanging="397"/>
      </w:pPr>
      <w:r>
        <w:rPr>
          <w:b/>
        </w:rPr>
        <w:t xml:space="preserve">8. </w:t>
      </w:r>
      <w:r>
        <w:t>Zet beide zenders aan met de knop bovenaan. Ze verschijnen daarna vanzelf in de balk onderaan novel studio, met hun naam en batterijpercentage.</w:t>
      </w:r>
    </w:p>
    <w:p>
      <w:pPr>
        <w:ind w:left="340"/>
      </w:pPr>
      <w:r>
        <w:rPr>
          <w:b/>
          <w:i w:val="0"/>
          <w:sz w:val="20"/>
        </w:rPr>
        <w:t>De zolen blijven voorlopig op tafel liggen. Ze gaan pas in de schoen na het nulstellen, in stap 21.</w:t>
      </w:r>
    </w:p>
    <w:p>
      <w:pPr>
        <w:keepNext/>
        <w:spacing w:before="200" w:after="80"/>
      </w:pPr>
      <w:r>
        <w:rPr>
          <w:b/>
          <w:sz w:val="24"/>
        </w:rPr>
        <w:t>4. Toestellen verbinden</w:t>
      </w:r>
    </w:p>
    <w:p>
      <w:pPr>
        <w:keepNext/>
        <w:spacing w:before="160"/>
      </w:pPr>
      <w:r>
        <w:rPr>
          <w:b/>
          <w:sz w:val="18"/>
        </w:rPr>
        <w:t>Figure 4: Manage Devices — toestellen nog niet verbonden</w:t>
      </w:r>
    </w:p>
    <w:p>
      <w:pPr>
        <w:spacing w:after="160"/>
        <w:jc w:val="center"/>
      </w:pPr>
      <w:r>
        <w:drawing>
          <wp:inline xmlns:a="http://schemas.openxmlformats.org/drawingml/2006/main" xmlns:pic="http://schemas.openxmlformats.org/drawingml/2006/picture">
            <wp:extent cx="5760000" cy="3430340"/>
            <wp:docPr id="4" name="Picture 4"/>
            <wp:cNvGraphicFramePr>
              <a:graphicFrameLocks noChangeAspect="1"/>
            </wp:cNvGraphicFramePr>
            <a:graphic>
              <a:graphicData uri="http://schemas.openxmlformats.org/drawingml/2006/picture">
                <pic:pic>
                  <pic:nvPicPr>
                    <pic:cNvPr id="0" name="Schermafbeelding 2026-09-10 100244.png"/>
                    <pic:cNvPicPr/>
                  </pic:nvPicPr>
                  <pic:blipFill>
                    <a:blip r:embed="rId13"/>
                    <a:stretch>
                      <a:fillRect/>
                    </a:stretch>
                  </pic:blipFill>
                  <pic:spPr>
                    <a:xfrm>
                      <a:off x="0" y="0"/>
                      <a:ext cx="5760000" cy="3430340"/>
                    </a:xfrm>
                    <a:prstGeom prst="rect"/>
                  </pic:spPr>
                </pic:pic>
              </a:graphicData>
            </a:graphic>
          </wp:inline>
        </w:drawing>
      </w:r>
    </w:p>
    <w:p>
      <w:pPr>
        <w:ind w:left="397" w:hanging="397"/>
      </w:pPr>
      <w:r>
        <w:rPr>
          <w:b/>
        </w:rPr>
        <w:t xml:space="preserve">9. </w:t>
      </w:r>
      <w:r>
        <w:t>Ga naar ‘Manage Devices’ en klik op ‘Scan Wi-Fi’ bij ‘pedar &amp; pliance’.</w:t>
      </w:r>
    </w:p>
    <w:p>
      <w:pPr>
        <w:ind w:left="397" w:hanging="397"/>
      </w:pPr>
      <w:r>
        <w:rPr>
          <w:b/>
        </w:rPr>
        <w:t xml:space="preserve">10. </w:t>
      </w:r>
      <w:r>
        <w:t>Er verschijnen twee toestellen. Staat er ‘Device lost’, klik dan op ‘Connect’ onder elk toestel.</w:t>
      </w:r>
    </w:p>
    <w:p>
      <w:pPr>
        <w:ind w:left="340"/>
      </w:pPr>
      <w:r>
        <w:rPr>
          <w:b w:val="0"/>
          <w:i/>
          <w:sz w:val="20"/>
        </w:rPr>
        <w:t>In de opstelling in Brugge krijgt links 192.168.123.101 en rechts 192.168.123.100. Die adressen deelt de router uit en ze kunnen elders anders zijn — ga af op de naam van het toestel, niet op het IP.</w:t>
      </w:r>
    </w:p>
    <w:p>
      <w:pPr>
        <w:keepNext/>
        <w:spacing w:before="160"/>
      </w:pPr>
      <w:r>
        <w:rPr>
          <w:b/>
          <w:sz w:val="18"/>
        </w:rPr>
        <w:t>Figure 5: Manage Devices — beide toestellen verbonden en klaar</w:t>
      </w:r>
    </w:p>
    <w:p>
      <w:pPr>
        <w:spacing w:after="160"/>
        <w:jc w:val="center"/>
      </w:pPr>
      <w:r>
        <w:drawing>
          <wp:inline xmlns:a="http://schemas.openxmlformats.org/drawingml/2006/main" xmlns:pic="http://schemas.openxmlformats.org/drawingml/2006/picture">
            <wp:extent cx="5760000" cy="3432591"/>
            <wp:docPr id="5" name="Picture 5"/>
            <wp:cNvGraphicFramePr>
              <a:graphicFrameLocks noChangeAspect="1"/>
            </wp:cNvGraphicFramePr>
            <a:graphic>
              <a:graphicData uri="http://schemas.openxmlformats.org/drawingml/2006/picture">
                <pic:pic>
                  <pic:nvPicPr>
                    <pic:cNvPr id="0" name="Schermafbeelding 2026-09-10 101213.png"/>
                    <pic:cNvPicPr/>
                  </pic:nvPicPr>
                  <pic:blipFill>
                    <a:blip r:embed="rId14"/>
                    <a:stretch>
                      <a:fillRect/>
                    </a:stretch>
                  </pic:blipFill>
                  <pic:spPr>
                    <a:xfrm>
                      <a:off x="0" y="0"/>
                      <a:ext cx="5760000" cy="3432591"/>
                    </a:xfrm>
                    <a:prstGeom prst="rect"/>
                  </pic:spPr>
                </pic:pic>
              </a:graphicData>
            </a:graphic>
          </wp:inline>
        </w:drawing>
      </w:r>
    </w:p>
    <w:p>
      <w:pPr>
        <w:ind w:left="397" w:hanging="397"/>
      </w:pPr>
      <w:r>
        <w:rPr>
          <w:b/>
        </w:rPr>
        <w:t xml:space="preserve">11.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keepNext/>
        <w:spacing w:before="200" w:after="80"/>
      </w:pPr>
      <w:r>
        <w:rPr>
          <w:b/>
          <w:sz w:val="24"/>
        </w:rPr>
        <w:t>5. Het configuratiebestand koppelen</w:t>
      </w:r>
    </w:p>
    <w:p>
      <w:pPr>
        <w:keepNext/>
        <w:spacing w:before="160"/>
      </w:pPr>
      <w:r>
        <w:rPr>
          <w:b/>
          <w:sz w:val="18"/>
        </w:rPr>
        <w:t>Figure 6: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6" name="Picture 6"/>
            <wp:cNvGraphicFramePr>
              <a:graphicFrameLocks noChangeAspect="1"/>
            </wp:cNvGraphicFramePr>
            <a:graphic>
              <a:graphicData uri="http://schemas.openxmlformats.org/drawingml/2006/picture">
                <pic:pic>
                  <pic:nvPicPr>
                    <pic:cNvPr id="0" name="Schermafbeelding 2026-09-10 101240.png"/>
                    <pic:cNvPicPr/>
                  </pic:nvPicPr>
                  <pic:blipFill>
                    <a:blip r:embed="rId15"/>
                    <a:stretch>
                      <a:fillRect/>
                    </a:stretch>
                  </pic:blipFill>
                  <pic:spPr>
                    <a:xfrm>
                      <a:off x="0" y="0"/>
                      <a:ext cx="5760000" cy="3443845"/>
                    </a:xfrm>
                    <a:prstGeom prst="rect"/>
                  </pic:spPr>
                </pic:pic>
              </a:graphicData>
            </a:graphic>
          </wp:inline>
        </w:drawing>
      </w:r>
    </w:p>
    <w:p>
      <w:pPr>
        <w:ind w:left="397" w:hanging="397"/>
      </w:pPr>
      <w:r>
        <w:rPr>
          <w:b/>
        </w:rPr>
        <w:t xml:space="preserve">12. </w:t>
      </w:r>
      <w:r>
        <w:t>Klik bij het linkertoestel op ‘Select config file’.</w:t>
      </w:r>
    </w:p>
    <w:p>
      <w:pPr>
        <w:ind w:left="397" w:hanging="397"/>
      </w:pPr>
      <w:r>
        <w:rPr>
          <w:b/>
        </w:rPr>
        <w:t xml:space="preserve">13. </w:t>
      </w:r>
      <w:r>
        <w:t>Kies het bestand waarvan de code overeenkomt met het label dat je in stap 5 hebt genoteerd. Voor zool XW.831L is dat plidar-G009L_xw831L.</w:t>
      </w:r>
    </w:p>
    <w:p>
      <w:pPr>
        <w:ind w:left="397" w:hanging="397"/>
      </w:pPr>
      <w:r>
        <w:rPr>
          <w:b/>
        </w:rPr>
        <w:t xml:space="preserve">14. </w:t>
      </w:r>
      <w:r>
        <w:t>Controleer dat het vinkje op hetzelfde bestand staat in beide kolommen: ‘Configuration files on your device’ en ‘Configuration files on your computer’.</w:t>
      </w:r>
    </w:p>
    <w:p>
      <w:pPr>
        <w:ind w:left="397" w:hanging="397"/>
      </w:pPr>
      <w:r>
        <w:rPr>
          <w:b/>
        </w:rPr>
        <w:t xml:space="preserve">15. </w:t>
      </w:r>
      <w:r>
        <w:t>Herhaal voor het rechtertoestel, met het bestand dat op R eindigt.</w:t>
      </w:r>
    </w:p>
    <w:p>
      <w:pPr>
        <w:ind w:left="397" w:hanging="397"/>
      </w:pPr>
      <w:r>
        <w:rPr>
          <w:b/>
        </w:rPr>
        <w:t xml:space="preserve">16. </w:t>
      </w:r>
      <w:r>
        <w:t>Ga terug naar ‘Manage Devices’ en controleer bij ‘Configuration’ dat het gekozen bestand er in het geel staat. Vergelijk die tekst letter voor letter met het label op de zool.</w:t>
      </w:r>
    </w:p>
    <w:p>
      <w:pPr>
        <w:ind w:left="340"/>
      </w:pPr>
      <w:r>
        <w:rPr>
          <w:b w:val="0"/>
          <w:i/>
          <w:sz w:val="20"/>
        </w:rPr>
        <w:t>Elke zender heeft vijf configuratiebestanden in het geheugen, één per maat. De zender weet niet welke zool je hebt aangesloten — die koppeling maak jij, en alleen hier.</w:t>
      </w:r>
    </w:p>
    <w:p>
      <w:pPr>
        <w:keepNext/>
        <w:spacing w:before="200" w:after="80"/>
      </w:pPr>
      <w:r>
        <w:rPr>
          <w:b/>
          <w:sz w:val="24"/>
        </w:rPr>
        <w:t>6. Nulstellen en meetfrequentie</w:t>
      </w:r>
    </w:p>
    <w:p>
      <w:pPr>
        <w:keepNext/>
        <w:spacing w:before="160"/>
      </w:pPr>
      <w:r>
        <w:rPr>
          <w:b/>
          <w:sz w:val="18"/>
        </w:rPr>
        <w:t>Figure 7: Measure — nulstellen en meetfrequentie</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325.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17. </w:t>
      </w:r>
      <w:r>
        <w:t>Ga naar ‘Measure’. Beide toestellen tonen ‘Ready’ en ‘Not zeroed’.</w:t>
      </w:r>
    </w:p>
    <w:p>
      <w:pPr>
        <w:ind w:left="397" w:hanging="397"/>
      </w:pPr>
      <w:r>
        <w:rPr>
          <w:b/>
        </w:rPr>
        <w:t xml:space="preserve">18. </w:t>
      </w:r>
      <w:r>
        <w:t>Leg de twee zolen onbelast en vlak op de tafel — nog niet in de schoen, niets erop, en raak ze niet aan. Klik dan per toestel op ‘Zero device’. De melding ‘Not zeroed’ verdwijnt.</w:t>
      </w:r>
    </w:p>
    <w:p>
      <w:pPr>
        <w:ind w:left="340"/>
      </w:pPr>
      <w:r>
        <w:rPr>
          <w:b/>
          <w:i w:val="0"/>
          <w:sz w:val="20"/>
        </w:rPr>
        <w:t>Nulstellen doe je één keer, aan het begin van de sessie. Niet opnieuw tussen de twee condities in: beide metingen horen tegen dezelfde nullijn te staan, anders vergelijk je appels met peren.</w:t>
      </w:r>
    </w:p>
    <w:p>
      <w:pPr>
        <w:ind w:left="397" w:hanging="397"/>
      </w:pPr>
      <w:r>
        <w:rPr>
          <w:b/>
        </w:rPr>
        <w:t xml:space="preserve">19. </w:t>
      </w:r>
      <w:r>
        <w:t>Zet ‘Sample rate’ op 100 Hz. De frequentierespons van de zool is opgegeven tot 100 Hz; gebruik voor elke deelnemer en elke visite dezelfde waarde.</w:t>
      </w:r>
    </w:p>
    <w:p>
      <w:pPr>
        <w:ind w:left="397" w:hanging="397"/>
      </w:pPr>
      <w:r>
        <w:rPr>
          <w:b/>
        </w:rPr>
        <w:t xml:space="preserve">20. </w:t>
      </w:r>
      <w:r>
        <w:t>Controleer bij ‘Select Active Cells’ dat er 99 staan. Dat is het aantal sensoren van een volwassen pedar-zool; staat er minder, dan zijn er cellen uitgeschakeld en klopt het beeld niet.</w:t>
      </w:r>
    </w:p>
    <w:p>
      <w:pPr>
        <w:keepNext/>
        <w:spacing w:before="200" w:after="80"/>
      </w:pPr>
      <w:r>
        <w:rPr>
          <w:b/>
          <w:sz w:val="24"/>
        </w:rPr>
        <w:t>7. De zolen in de schoen — let op de volgorde</w:t>
      </w:r>
    </w:p>
    <w:p>
      <w:r>
        <w:rPr>
          <w:b/>
          <w:i w:val="0"/>
          <w:sz w:val="20"/>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0"/>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0"/>
        </w:rPr>
      </w:r>
    </w:p>
    <w:p>
      <w:pPr>
        <w:ind w:left="397" w:hanging="397"/>
      </w:pPr>
      <w:r>
        <w:rPr>
          <w:b/>
        </w:rPr>
        <w:t xml:space="preserve">21. </w:t>
      </w:r>
      <w:r>
        <w:t>Leg de pedar-zool vlak in de schoen, bovenop wat er al in ligt, zonder plooien. Voor conditie B ligt ze dus bovenop de CMFO.</w:t>
      </w:r>
    </w:p>
    <w:p>
      <w:pPr>
        <w:ind w:left="397" w:hanging="397"/>
      </w:pPr>
      <w:r>
        <w:rPr>
          <w:b/>
        </w:rPr>
        <w:t xml:space="preserve">22. </w:t>
      </w:r>
      <w:r>
        <w:t>Leid de kabel langs de binnenkant van de schoen naar buiten, zonder dat hij geklemd raakt, en zet de zender met de klittenband vast op het onderbeen of de enkel.</w:t>
      </w:r>
    </w:p>
    <w:p>
      <w:pPr>
        <w:ind w:left="397" w:hanging="397"/>
      </w:pPr>
      <w:r>
        <w:rPr>
          <w:b/>
        </w:rPr>
        <w:t xml:space="preserve">23. </w:t>
      </w:r>
      <w:r>
        <w:t>Laat de deelnemer dunne, naadloze katoenen sokken aandoen — voor elke deelnemer hetzelfde type — en de schoenen aantrekken.</w:t>
      </w:r>
    </w:p>
    <w:p>
      <w:pPr>
        <w:keepNext/>
        <w:spacing w:before="200" w:after="80"/>
      </w:pPr>
      <w:r>
        <w:rPr>
          <w:b/>
          <w:sz w:val="24"/>
        </w:rPr>
        <w:t>8. De meting</w:t>
      </w:r>
    </w:p>
    <w:p>
      <w:r>
        <w:rPr>
          <w:b/>
          <w:i w:val="0"/>
          <w:sz w:val="20"/>
        </w:rPr>
        <w:t>Per meetmoment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0"/>
        </w:rPr>
        <w:t>De 25%-reductie wordt tussen A en B gerekend, in dezelfde sessie. Op visite 1 wordt alleen conditie A gemeten; die dient voor de aanmaak van de zool.</w:t>
      </w:r>
    </w:p>
    <w:p>
      <w:r>
        <w:rPr>
          <w:b w:val="0"/>
          <w:i w:val="0"/>
          <w:sz w:val="20"/>
        </w:rPr>
      </w:r>
    </w:p>
    <w:p>
      <w:pPr>
        <w:ind w:left="397" w:hanging="397"/>
      </w:pPr>
      <w:r>
        <w:rPr>
          <w:b/>
        </w:rPr>
        <w:t xml:space="preserve">24. </w:t>
      </w:r>
      <w:r>
        <w:t>Vul bij ‘Measurement identification’ in: deelnemerscode, visite en conditie — A zonder zool of B met zool.</w:t>
      </w:r>
    </w:p>
    <w:p>
      <w:pPr>
        <w:ind w:left="397" w:hanging="397"/>
      </w:pPr>
      <w:r>
        <w:rPr>
          <w:b/>
        </w:rPr>
        <w:t xml:space="preserve">25. </w:t>
      </w:r>
      <w:r>
        <w:t>Laat de deelnemer een paar meter wennen, buiten de meting.</w:t>
      </w:r>
    </w:p>
    <w:p>
      <w:pPr>
        <w:ind w:left="397" w:hanging="397"/>
      </w:pPr>
      <w:r>
        <w:rPr>
          <w:b/>
        </w:rPr>
        <w:t xml:space="preserve">26. </w:t>
      </w:r>
      <w:r>
        <w:t>Klik op ‘Start measurement’ en laat de deelnemer de looproute afleggen op zelfgekozen comfortsnelheid.</w:t>
      </w:r>
    </w:p>
    <w:p>
      <w:pPr>
        <w:ind w:left="397" w:hanging="397"/>
      </w:pPr>
      <w:r>
        <w:rPr>
          <w:b/>
        </w:rPr>
        <w:t xml:space="preserve">27.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28. </w:t>
      </w:r>
      <w:r>
        <w:t>Klik op ‘Stop’.</w:t>
      </w:r>
    </w:p>
    <w:p>
      <w:pPr>
        <w:ind w:left="397" w:hanging="397"/>
      </w:pPr>
      <w:r>
        <w:rPr>
          <w:b/>
        </w:rPr>
        <w:t xml:space="preserve">29. </w:t>
      </w:r>
      <w:r>
        <w:t>Voor conditie B: laat de deelnemer de schoenen uitdoen, leg de CMFO in de schoen en de pedar-zool daar bovenop, en herhaal stap 22 tot 28. Stel niet opnieuw nul. Houd de snelheid gelijk; bij opvolging mag ze maximaal 5% afwijken van de baselinemeting.</w:t>
      </w:r>
    </w:p>
    <w:p>
      <w:r>
        <w:rPr>
          <w:b w:val="0"/>
          <w:i/>
          <w:sz w:val="20"/>
        </w:rPr>
        <w:t>Op visite 1 worden drie metingen per voet gedaan, links en rechts apart, waaruit één gemiddeld piekdrukbeeld volgt.</w:t>
      </w:r>
    </w:p>
    <w:p>
      <w:pPr>
        <w:keepNext/>
        <w:spacing w:before="200" w:after="80"/>
      </w:pPr>
      <w:r>
        <w:rPr>
          <w:b/>
          <w:sz w:val="24"/>
        </w:rPr>
        <w:t>9. De meting bekijken en de piekdruk aflezen</w:t>
      </w:r>
    </w:p>
    <w:p>
      <w:pPr>
        <w:ind w:left="397" w:hanging="397"/>
      </w:pPr>
      <w:r>
        <w:rPr>
          <w:b/>
        </w:rPr>
        <w:t xml:space="preserve">30.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8: Chart controls — het meetvenster afbakenen</w:t>
      </w:r>
    </w:p>
    <w:p>
      <w:pPr>
        <w:spacing w:after="160"/>
        <w:jc w:val="center"/>
      </w:pPr>
      <w:r>
        <w:drawing>
          <wp:inline xmlns:a="http://schemas.openxmlformats.org/drawingml/2006/main" xmlns:pic="http://schemas.openxmlformats.org/drawingml/2006/picture">
            <wp:extent cx="5760000" cy="3339490"/>
            <wp:docPr id="8" name="Picture 8"/>
            <wp:cNvGraphicFramePr>
              <a:graphicFrameLocks noChangeAspect="1"/>
            </wp:cNvGraphicFramePr>
            <a:graphic>
              <a:graphicData uri="http://schemas.openxmlformats.org/drawingml/2006/picture">
                <pic:pic>
                  <pic:nvPicPr>
                    <pic:cNvPr id="0" name="Schermafbeelding 2026-09-10 100125.png"/>
                    <pic:cNvPicPr/>
                  </pic:nvPicPr>
                  <pic:blipFill>
                    <a:blip r:embed="rId17"/>
                    <a:stretch>
                      <a:fillRect/>
                    </a:stretch>
                  </pic:blipFill>
                  <pic:spPr>
                    <a:xfrm>
                      <a:off x="0" y="0"/>
                      <a:ext cx="5760000" cy="3339490"/>
                    </a:xfrm>
                    <a:prstGeom prst="rect"/>
                  </pic:spPr>
                </pic:pic>
              </a:graphicData>
            </a:graphic>
          </wp:inline>
        </w:drawing>
      </w:r>
    </w:p>
    <w:p>
      <w:pPr>
        <w:ind w:left="397" w:hanging="397"/>
      </w:pPr>
      <w:r>
        <w:rPr>
          <w:b/>
        </w:rPr>
        <w:t xml:space="preserve">31. </w:t>
      </w:r>
      <w:r>
        <w:t>Open ‘Chart controls’ en gebruik ‘Set Range’ of de tijdbalk om alleen het mid-gait deel te selecteren. ‘Fit All Data’ zet de weergave terug op de volledige meting.</w:t>
      </w:r>
    </w:p>
    <w:p>
      <w:pPr>
        <w:keepNext/>
        <w:spacing w:before="160"/>
      </w:pPr>
      <w:r>
        <w:rPr>
          <w:b/>
          <w:sz w:val="18"/>
        </w:rPr>
        <w:t>Figure 9: MVP — de gemiddelde drukverdeling over de selectie</w:t>
      </w:r>
    </w:p>
    <w:p>
      <w:pPr>
        <w:spacing w:after="160"/>
        <w:jc w:val="center"/>
      </w:pPr>
      <w:r>
        <w:drawing>
          <wp:inline xmlns:a="http://schemas.openxmlformats.org/drawingml/2006/main" xmlns:pic="http://schemas.openxmlformats.org/drawingml/2006/picture">
            <wp:extent cx="5760000" cy="3343059"/>
            <wp:docPr id="9" name="Picture 9"/>
            <wp:cNvGraphicFramePr>
              <a:graphicFrameLocks noChangeAspect="1"/>
            </wp:cNvGraphicFramePr>
            <a:graphic>
              <a:graphicData uri="http://schemas.openxmlformats.org/drawingml/2006/picture">
                <pic:pic>
                  <pic:nvPicPr>
                    <pic:cNvPr id="0" name="Schermafbeelding 2026-09-10 095945.png"/>
                    <pic:cNvPicPr/>
                  </pic:nvPicPr>
                  <pic:blipFill>
                    <a:blip r:embed="rId18"/>
                    <a:stretch>
                      <a:fillRect/>
                    </a:stretch>
                  </pic:blipFill>
                  <pic:spPr>
                    <a:xfrm>
                      <a:off x="0" y="0"/>
                      <a:ext cx="5760000" cy="3343059"/>
                    </a:xfrm>
                    <a:prstGeom prst="rect"/>
                  </pic:spPr>
                </pic:pic>
              </a:graphicData>
            </a:graphic>
          </wp:inline>
        </w:drawing>
      </w:r>
    </w:p>
    <w:p>
      <w:pPr>
        <w:keepNext/>
        <w:spacing w:before="160"/>
      </w:pPr>
      <w:r>
        <w:rPr>
          <w:b/>
          <w:sz w:val="18"/>
        </w:rPr>
        <w:t>Figure 10: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0" name="Picture 10"/>
            <wp:cNvGraphicFramePr>
              <a:graphicFrameLocks noChangeAspect="1"/>
            </wp:cNvGraphicFramePr>
            <a:graphic>
              <a:graphicData uri="http://schemas.openxmlformats.org/drawingml/2006/picture">
                <pic:pic>
                  <pic:nvPicPr>
                    <pic:cNvPr id="0" name="Schermafbeelding 2026-09-10 100159.png"/>
                    <pic:cNvPicPr/>
                  </pic:nvPicPr>
                  <pic:blipFill>
                    <a:blip r:embed="rId19"/>
                    <a:stretch>
                      <a:fillRect/>
                    </a:stretch>
                  </pic:blipFill>
                  <pic:spPr>
                    <a:xfrm>
                      <a:off x="0" y="0"/>
                      <a:ext cx="5760000" cy="3351314"/>
                    </a:xfrm>
                    <a:prstGeom prst="rect"/>
                  </pic:spPr>
                </pic:pic>
              </a:graphicData>
            </a:graphic>
          </wp:inline>
        </w:drawing>
      </w:r>
    </w:p>
    <w:p>
      <w:pPr>
        <w:ind w:left="397" w:hanging="397"/>
      </w:pPr>
      <w:r>
        <w:rPr>
          <w:b/>
        </w:rPr>
        <w:t xml:space="preserve">32.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33. </w:t>
      </w:r>
      <w:r>
        <w:t>Lees onderaan per voet af: Maximum force, Peak pressure, Average pressure en Loaded area. Noteer ze op het formulier.</w:t>
      </w:r>
    </w:p>
    <w:p>
      <w:pPr>
        <w:ind w:left="397" w:hanging="397"/>
      </w:pPr>
      <w:r>
        <w:rPr>
          <w:b/>
        </w:rPr>
        <w:t xml:space="preserve">34.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35. </w:t>
      </w:r>
      <w:r>
        <w:t>Maak een schermafbeelding van het MPP-beeld, met de kleurenschaal zichtbaar, en plak die in de eCRF-Excel bij deze deelnemer en dit meetmoment. Gebruik Windows-toets + Shift + S, sleep een kader rond het voetbeeld én de kleurenschaal, en plak met Ctrl + V in de Excel. Zo ligt de beoordeling vast in beeld naast de cijfers.</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r>
        <w:rPr>
          <w:b w:val="0"/>
          <w:i/>
          <w:sz w:val="20"/>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sz w:val="24"/>
        </w:rPr>
        <w:t>10. Wachten, stilstaan of een misstap — wat telt er mee?</w:t>
      </w:r>
    </w:p>
    <w:p>
      <w:r>
        <w:rPr>
          <w:b w:val="0"/>
          <w:i w:val="0"/>
          <w:sz w:val="20"/>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de frames zonder enige druk. Dit geeft de laagste waarden, en een pauze drukt ze verder omlaag.</w:t>
      </w:r>
    </w:p>
    <w:p>
      <w:pPr>
        <w:pStyle w:val="ListBullet"/>
        <w:ind w:left="680"/>
      </w:pPr>
      <w:r>
        <w:t>MVP LF — alleen over geladen frames: frames waarin minstens één sensor druk registreerde. Staat de voet in de lucht, dan telt dat frame niet mee.</w:t>
      </w:r>
    </w:p>
    <w:p>
      <w:pPr>
        <w:pStyle w:val="ListBullet"/>
        <w:ind w:left="680"/>
      </w:pPr>
      <w:r>
        <w:t>MVP LC — alleen over geladen frames én geladen sensoren; nulwaarden tellen helemaal niet mee.</w:t>
      </w:r>
    </w:p>
    <w:p>
      <w:r>
        <w:rPr>
          <w:b/>
          <w:i w:val="0"/>
          <w:sz w:val="20"/>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0"/>
        </w:rPr>
        <w:t>Te toetsen tijdens de droogloop: of MPP en MVP daadwerkelijk herberekend worden over de selectie van ‘Set Range’, of alleen de grafiek inzoomt. Meet daarvoor één opname twee keer af, één keer volledig en één keer met een selectie, en vergelijk de getallen.</w:t>
      </w:r>
    </w:p>
    <w:p>
      <w:pPr>
        <w:keepNext/>
        <w:spacing w:before="200" w:after="80"/>
      </w:pPr>
      <w:r>
        <w:rPr>
          <w:b/>
          <w:sz w:val="24"/>
        </w:rPr>
        <w:t>11. De kleurenschaal — de norm zichtbaar maken</w:t>
      </w:r>
    </w:p>
    <w:p>
      <w:r>
        <w:rPr>
          <w:b/>
          <w:i w:val="0"/>
          <w:sz w:val="20"/>
        </w:rPr>
        <w:t>Zolang de zool niet in regio’s verdeeld kan worden, doet het palet dat werk: het maakt met kleur zichtbaar waar de druk boven de norm uitkomt. Daarom staat het hoogste niveau op 200 kPa.</w:t>
      </w:r>
    </w:p>
    <w:p>
      <w:pPr>
        <w:keepNext/>
        <w:spacing w:before="160"/>
      </w:pPr>
      <w:r>
        <w:rPr>
          <w:b/>
          <w:sz w:val="18"/>
        </w:rPr>
        <w:t>Figure 11: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11" name="Picture 11"/>
            <wp:cNvGraphicFramePr>
              <a:graphicFrameLocks noChangeAspect="1"/>
            </wp:cNvGraphicFramePr>
            <a:graphic>
              <a:graphicData uri="http://schemas.openxmlformats.org/drawingml/2006/picture">
                <pic:pic>
                  <pic:nvPicPr>
                    <pic:cNvPr id="0" name="Schermafbeelding 2026-09-10 100038.png"/>
                    <pic:cNvPicPr/>
                  </pic:nvPicPr>
                  <pic:blipFill>
                    <a:blip r:embed="rId20"/>
                    <a:stretch>
                      <a:fillRect/>
                    </a:stretch>
                  </pic:blipFill>
                  <pic:spPr>
                    <a:xfrm>
                      <a:off x="0" y="0"/>
                      <a:ext cx="5760000" cy="3204795"/>
                    </a:xfrm>
                    <a:prstGeom prst="rect"/>
                  </pic:spPr>
                </pic:pic>
              </a:graphicData>
            </a:graphic>
          </wp:inline>
        </w:drawing>
      </w:r>
    </w:p>
    <w:p>
      <w:pPr>
        <w:ind w:left="397" w:hanging="397"/>
      </w:pPr>
      <w:r>
        <w:rPr>
          <w:b/>
        </w:rPr>
        <w:t xml:space="preserve">36.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0"/>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37. </w:t>
      </w:r>
      <w:r>
        <w:t>Bewaar de instelling met ‘Save custom set’ en gebruik ‘Load custom set’ om hem op elke laptop te laden. Alle zes de centra werken met hetzelfde bestand.</w:t>
      </w:r>
    </w:p>
    <w:p>
      <w:r>
        <w:rPr>
          <w:b/>
          <w:i w:val="0"/>
          <w:sz w:val="20"/>
        </w:rPr>
        <w:t>Wijzig het palet niet tussen deelnemers of tussen visites. Doe je dat wel, dan zijn de schermafbeeldingen in de eCRF-Excel onderling niet meer vergelijkbaar en is de visuele beoordeling waardeloos.</w:t>
      </w:r>
    </w:p>
    <w:p>
      <w:pPr>
        <w:keepNext/>
        <w:spacing w:before="200" w:after="80"/>
      </w:pPr>
      <w:r>
        <w:rPr>
          <w:b/>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van het MPP-beeld in de eCRF-Excel staat, bij de juiste deelnemer, het juiste meetmoment en de juiste conditie — zonder of met de zool.</w:t>
      </w:r>
    </w:p>
    <w:p>
      <w:pPr>
        <w:ind w:left="397" w:hanging="397"/>
      </w:pPr>
      <w:r>
        <w:rPr>
          <w:b/>
        </w:rPr>
        <w:t xml:space="preserve">41. </w:t>
      </w:r>
      <w:r>
        <w:t>Neem de zolen uit de schoenen, veeg ze schoon en berg ze vlak op.</w:t>
      </w:r>
    </w:p>
    <w:p>
      <w:pPr>
        <w:ind w:left="397" w:hanging="397"/>
      </w:pPr>
      <w:r>
        <w:rPr>
          <w:b/>
        </w:rPr>
        <w:t xml:space="preserve">42. </w:t>
      </w:r>
      <w:r>
        <w:t>Zet de toestellen aan de lader als de batterij laag staat.</w:t>
      </w:r>
    </w:p>
    <w:p>
      <w:pPr>
        <w:keepNext/>
        <w:spacing w:before="200" w:after="80"/>
      </w:pPr>
      <w:r>
        <w:rPr>
          <w:b/>
          <w:sz w:val="24"/>
        </w:rPr>
        <w:t>13.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0"/>
        </w:rPr>
      </w:r>
    </w:p>
    <w:p>
      <w:r>
        <w:rPr>
          <w:b/>
          <w:i w:val="0"/>
          <w:sz w:val="20"/>
        </w:rPr>
        <w:t>Technische gegevens van de zool, uit de pedar® Insole Catalogue:</w:t>
      </w:r>
    </w:p>
    <w:tbl>
      <w:tblPr>
        <w:tblStyle w:val="TableGrid"/>
        <w:tblW w:type="auto" w:w="0"/>
        <w:jc w:val="left"/>
        <w:tblLook w:firstColumn="1" w:firstRow="1" w:lastColumn="0" w:lastRow="0" w:noHBand="0" w:noVBand="1" w:val="04A0"/>
      </w:tblPr>
      <w:tblGrid>
        <w:gridCol w:w="4536"/>
        <w:gridCol w:w="4536"/>
      </w:tblGrid>
      <w:tr>
        <w:tc>
          <w:tcPr>
            <w:tcW w:type="dxa" w:w="4535"/>
          </w:tcPr>
          <w:p>
            <w:r/>
            <w:r>
              <w:rPr>
                <w:b/>
                <w:sz w:val="18"/>
              </w:rPr>
              <w:t>Kenmerk</w:t>
            </w:r>
          </w:p>
        </w:tc>
        <w:tc>
          <w:tcPr>
            <w:tcW w:type="dxa" w:w="2835"/>
          </w:tcPr>
          <w:p>
            <w:r/>
            <w:r>
              <w:rPr>
                <w:b/>
                <w:sz w:val="18"/>
              </w:rPr>
              <w:t>Waarde</w:t>
            </w:r>
          </w:p>
        </w:tc>
      </w:tr>
      <w:tr>
        <w:tc>
          <w:tcPr>
            <w:tcW w:type="dxa" w:w="4535"/>
          </w:tcPr>
          <w:p>
            <w:r/>
            <w:r>
              <w:rPr>
                <w:sz w:val="18"/>
              </w:rPr>
              <w:t>Aantal sensoren (volwassen zool)</w:t>
            </w:r>
          </w:p>
        </w:tc>
        <w:tc>
          <w:tcPr>
            <w:tcW w:type="dxa" w:w="2835"/>
          </w:tcPr>
          <w:p>
            <w:r/>
            <w:r>
              <w:rPr>
                <w:sz w:val="18"/>
              </w:rPr>
              <w:t>99</w:t>
            </w:r>
          </w:p>
        </w:tc>
      </w:tr>
      <w:tr>
        <w:tc>
          <w:tcPr>
            <w:tcW w:type="dxa" w:w="4535"/>
          </w:tcPr>
          <w:p>
            <w:r/>
            <w:r>
              <w:rPr>
                <w:sz w:val="18"/>
              </w:rPr>
              <w:t>Dikte van de sensor</w:t>
            </w:r>
          </w:p>
        </w:tc>
        <w:tc>
          <w:tcPr>
            <w:tcW w:type="dxa" w:w="2835"/>
          </w:tcPr>
          <w:p>
            <w:r/>
            <w:r>
              <w:rPr>
                <w:sz w:val="18"/>
              </w:rPr>
              <w:t>1,9 mm</w:t>
            </w:r>
          </w:p>
        </w:tc>
      </w:tr>
      <w:tr>
        <w:tc>
          <w:tcPr>
            <w:tcW w:type="dxa" w:w="4535"/>
          </w:tcPr>
          <w:p>
            <w:r/>
            <w:r>
              <w:rPr>
                <w:sz w:val="18"/>
              </w:rPr>
              <w:t>Drukbereik</w:t>
            </w:r>
          </w:p>
        </w:tc>
        <w:tc>
          <w:tcPr>
            <w:tcW w:type="dxa" w:w="2835"/>
          </w:tcPr>
          <w:p>
            <w:r/>
            <w:r>
              <w:rPr>
                <w:sz w:val="18"/>
              </w:rPr>
              <w:t>15 – 600 kPa</w:t>
            </w:r>
          </w:p>
        </w:tc>
      </w:tr>
      <w:tr>
        <w:tc>
          <w:tcPr>
            <w:tcW w:type="dxa" w:w="4535"/>
          </w:tcPr>
          <w:p>
            <w:r/>
            <w:r>
              <w:rPr>
                <w:sz w:val="18"/>
              </w:rPr>
              <w:t>Resolutie</w:t>
            </w:r>
          </w:p>
        </w:tc>
        <w:tc>
          <w:tcPr>
            <w:tcW w:type="dxa" w:w="2835"/>
          </w:tcPr>
          <w:p>
            <w:r/>
            <w:r>
              <w:rPr>
                <w:sz w:val="18"/>
              </w:rPr>
              <w:t>2,5 kPa</w:t>
            </w:r>
          </w:p>
        </w:tc>
      </w:tr>
      <w:tr>
        <w:tc>
          <w:tcPr>
            <w:tcW w:type="dxa" w:w="4535"/>
          </w:tcPr>
          <w:p>
            <w:r/>
            <w:r>
              <w:rPr>
                <w:sz w:val="18"/>
              </w:rPr>
              <w:t>Hysterese</w:t>
            </w:r>
          </w:p>
        </w:tc>
        <w:tc>
          <w:tcPr>
            <w:tcW w:type="dxa" w:w="2835"/>
          </w:tcPr>
          <w:p>
            <w:r/>
            <w:r>
              <w:rPr>
                <w:sz w:val="18"/>
              </w:rPr>
              <w:t>&lt; 7%</w:t>
            </w:r>
          </w:p>
        </w:tc>
      </w:tr>
      <w:tr>
        <w:tc>
          <w:tcPr>
            <w:tcW w:type="dxa" w:w="4535"/>
          </w:tcPr>
          <w:p>
            <w:r/>
            <w:r>
              <w:rPr>
                <w:sz w:val="18"/>
              </w:rPr>
              <w:t>Temperatuurdrift van de nullijn</w:t>
            </w:r>
          </w:p>
        </w:tc>
        <w:tc>
          <w:tcPr>
            <w:tcW w:type="dxa" w:w="2835"/>
          </w:tcPr>
          <w:p>
            <w:r/>
            <w:r>
              <w:rPr>
                <w:sz w:val="18"/>
              </w:rPr>
              <w:t>&lt; 0,5 kPa/K</w:t>
            </w:r>
          </w:p>
        </w:tc>
      </w:tr>
      <w:tr>
        <w:tc>
          <w:tcPr>
            <w:tcW w:type="dxa" w:w="4535"/>
          </w:tcPr>
          <w:p>
            <w:r/>
            <w:r>
              <w:rPr>
                <w:sz w:val="18"/>
              </w:rPr>
              <w:t>Frequentierespons</w:t>
            </w:r>
          </w:p>
        </w:tc>
        <w:tc>
          <w:tcPr>
            <w:tcW w:type="dxa" w:w="2835"/>
          </w:tcPr>
          <w:p>
            <w:r/>
            <w:r>
              <w:rPr>
                <w:sz w:val="18"/>
              </w:rPr>
              <w:t>0 – 100 Hz, &lt; 2 dB</w:t>
            </w:r>
          </w:p>
        </w:tc>
      </w:tr>
      <w:tr>
        <w:tc>
          <w:tcPr>
            <w:tcW w:type="dxa" w:w="4535"/>
          </w:tcPr>
          <w:p>
            <w:r/>
            <w:r>
              <w:rPr>
                <w:sz w:val="18"/>
              </w:rPr>
              <w:t>Minimale buigstraal</w:t>
            </w:r>
          </w:p>
        </w:tc>
        <w:tc>
          <w:tcPr>
            <w:tcW w:type="dxa" w:w="2835"/>
          </w:tcPr>
          <w:p>
            <w:r/>
            <w:r>
              <w:rPr>
                <w:sz w:val="18"/>
              </w:rPr>
              <w:t>20 mm</w:t>
            </w:r>
          </w:p>
        </w:tc>
      </w:tr>
      <w:tr>
        <w:tc>
          <w:tcPr>
            <w:tcW w:type="dxa" w:w="4535"/>
          </w:tcPr>
          <w:p>
            <w:r/>
            <w:r>
              <w:rPr>
                <w:sz w:val="18"/>
              </w:rPr>
              <w:t>Drukverandering door buigen</w:t>
            </w:r>
          </w:p>
        </w:tc>
        <w:tc>
          <w:tcPr>
            <w:tcW w:type="dxa" w:w="2835"/>
          </w:tcPr>
          <w:p>
            <w:r/>
            <w:r>
              <w:rPr>
                <w:sz w:val="18"/>
              </w:rPr>
              <w:t>&lt; 20 kPa</w:t>
            </w:r>
          </w:p>
        </w:tc>
      </w:tr>
    </w:tbl>
    <w:p/>
    <w:p>
      <w:r>
        <w:rPr>
          <w:b w:val="0"/>
          <w:i/>
          <w:sz w:val="16"/>
        </w:rPr>
        <w:t>Bron: pedar® Insole Catalogue, novel gmbh, 2020.</w:t>
      </w:r>
    </w:p>
    <w:p>
      <w:pPr>
        <w:keepNext/>
        <w:spacing w:before="200" w:after="80"/>
      </w:pPr>
      <w:r>
        <w:rPr>
          <w:b/>
          <w:sz w:val="24"/>
        </w:rPr>
        <w:t>14. Als er iets misloopt</w:t>
      </w:r>
    </w:p>
    <w:tbl>
      <w:tblPr>
        <w:tblStyle w:val="TableGrid"/>
        <w:tblW w:type="auto" w:w="0"/>
        <w:jc w:val="left"/>
        <w:tblLook w:firstColumn="1" w:firstRow="1" w:lastColumn="0" w:lastRow="0" w:noHBand="0" w:noVBand="1" w:val="04A0"/>
      </w:tblPr>
      <w:tblGrid>
        <w:gridCol w:w="4536"/>
        <w:gridCol w:w="4536"/>
      </w:tblGrid>
      <w:tr>
        <w:tc>
          <w:tcPr>
            <w:tcW w:type="dxa" w:w="3288"/>
          </w:tcPr>
          <w:p>
            <w:r/>
            <w:r>
              <w:rPr>
                <w:b/>
                <w:sz w:val="18"/>
              </w:rPr>
              <w:t>Wat je ziet</w:t>
            </w:r>
          </w:p>
        </w:tc>
        <w:tc>
          <w:tcPr>
            <w:tcW w:type="dxa" w:w="5783"/>
          </w:tcPr>
          <w:p>
            <w:r/>
            <w:r>
              <w:rPr>
                <w:b/>
                <w:sz w:val="18"/>
              </w:rPr>
              <w:t>Wat je doet</w:t>
            </w:r>
          </w:p>
        </w:tc>
      </w:tr>
      <w:tr>
        <w:tc>
          <w:tcPr>
            <w:tcW w:type="dxa" w:w="3288"/>
          </w:tcPr>
          <w:p>
            <w:r/>
            <w:r>
              <w:rPr>
                <w:sz w:val="18"/>
              </w:rPr>
              <w:t>Een toestel verschijnt niet bij ‘Scan Wi-Fi’</w:t>
            </w:r>
          </w:p>
        </w:tc>
        <w:tc>
          <w:tcPr>
            <w:tcW w:type="dxa" w:w="5783"/>
          </w:tcPr>
          <w:p>
            <w:r/>
            <w:r>
              <w:rPr>
                <w:sz w:val="18"/>
              </w:rPr>
              <w:t>Staat de router aan? Staat de zender aan? Ben je binnen bereik? Scan opnieuw.</w:t>
            </w:r>
          </w:p>
        </w:tc>
      </w:tr>
      <w:tr>
        <w:tc>
          <w:tcPr>
            <w:tcW w:type="dxa" w:w="3288"/>
          </w:tcPr>
          <w:p>
            <w:r/>
            <w:r>
              <w:rPr>
                <w:sz w:val="18"/>
              </w:rPr>
              <w:t>Het toestel blijft op ‘Device lost’ staan</w:t>
            </w:r>
          </w:p>
        </w:tc>
        <w:tc>
          <w:tcPr>
            <w:tcW w:type="dxa" w:w="5783"/>
          </w:tcPr>
          <w:p>
            <w:r/>
            <w:r>
              <w:rPr>
                <w:sz w:val="18"/>
              </w:rPr>
              <w:t>Klik opnieuw op ‘Connect’. Helpt dat niet, zet de zender uit en weer aan.</w:t>
            </w:r>
          </w:p>
        </w:tc>
      </w:tr>
      <w:tr>
        <w:tc>
          <w:tcPr>
            <w:tcW w:type="dxa" w:w="3288"/>
          </w:tcPr>
          <w:p>
            <w:r/>
            <w:r>
              <w:rPr>
                <w:sz w:val="18"/>
              </w:rPr>
              <w:t>‘Not zeroed’ verdwijnt niet</w:t>
            </w:r>
          </w:p>
        </w:tc>
        <w:tc>
          <w:tcPr>
            <w:tcW w:type="dxa" w:w="5783"/>
          </w:tcPr>
          <w:p>
            <w:r/>
            <w:r>
              <w:rPr>
                <w:sz w:val="18"/>
              </w:rPr>
              <w:t>De zolen moeten volledig onbelast zijn: vlak op tafel, niets erop, en niet vastgehouden. Probeer opnieuw.</w:t>
            </w:r>
          </w:p>
        </w:tc>
      </w:tr>
      <w:tr>
        <w:tc>
          <w:tcPr>
            <w:tcW w:type="dxa" w:w="3288"/>
          </w:tcPr>
          <w:p>
            <w:r/>
            <w:r>
              <w:rPr>
                <w:sz w:val="18"/>
              </w:rPr>
              <w:t>Bij ‘Configuration’ staat geen of het verkeerde bestand</w:t>
            </w:r>
          </w:p>
        </w:tc>
        <w:tc>
          <w:tcPr>
            <w:tcW w:type="dxa" w:w="5783"/>
          </w:tcPr>
          <w:p>
            <w:r/>
            <w:r>
              <w:rPr>
                <w:sz w:val="18"/>
              </w:rPr>
              <w:t>Ga terug naar ‘Select config file’ en kies het bestand dat overeenkomt met het label op de zool. Meet niet verder tot dit klopt.</w:t>
            </w:r>
          </w:p>
        </w:tc>
      </w:tr>
      <w:tr>
        <w:tc>
          <w:tcPr>
            <w:tcW w:type="dxa" w:w="3288"/>
          </w:tcPr>
          <w:p>
            <w:r/>
            <w:r>
              <w:rPr>
                <w:sz w:val="18"/>
              </w:rPr>
              <w:t>Er staan minder dan 99 actieve cellen</w:t>
            </w:r>
          </w:p>
        </w:tc>
        <w:tc>
          <w:tcPr>
            <w:tcW w:type="dxa" w:w="5783"/>
          </w:tcPr>
          <w:p>
            <w:r/>
            <w:r>
              <w:rPr>
                <w:sz w:val="18"/>
              </w:rPr>
              <w:t>Er zijn sensorcellen uitgeschakeld. Meld dit en meet niet verder.</w:t>
            </w:r>
          </w:p>
        </w:tc>
      </w:tr>
      <w:tr>
        <w:tc>
          <w:tcPr>
            <w:tcW w:type="dxa" w:w="3288"/>
          </w:tcPr>
          <w:p>
            <w:r/>
            <w:r>
              <w:rPr>
                <w:sz w:val="18"/>
              </w:rPr>
              <w:t>Het beeld toont maar één voet</w:t>
            </w:r>
          </w:p>
        </w:tc>
        <w:tc>
          <w:tcPr>
            <w:tcW w:type="dxa" w:w="5783"/>
          </w:tcPr>
          <w:p>
            <w:r/>
            <w:r>
              <w:rPr>
                <w:sz w:val="18"/>
              </w:rPr>
              <w:t>Controleer de connector tussen zool en zender, en of beide toestellen op ‘Ready’ staan.</w:t>
            </w:r>
          </w:p>
        </w:tc>
      </w:tr>
      <w:tr>
        <w:tc>
          <w:tcPr>
            <w:tcW w:type="dxa" w:w="3288"/>
          </w:tcPr>
          <w:p>
            <w:r/>
            <w:r>
              <w:rPr>
                <w:sz w:val="18"/>
              </w:rPr>
              <w:t>Minder dan 12 bruikbare stappen per voet</w:t>
            </w:r>
          </w:p>
        </w:tc>
        <w:tc>
          <w:tcPr>
            <w:tcW w:type="dxa" w:w="5783"/>
          </w:tcPr>
          <w:p>
            <w:r/>
            <w:r>
              <w:rPr>
                <w:sz w:val="18"/>
              </w:rPr>
              <w:t>Laat de deelnemer nog een doorgang lopen en meet opnieuw.</w:t>
            </w:r>
          </w:p>
        </w:tc>
      </w:tr>
      <w:tr>
        <w:tc>
          <w:tcPr>
            <w:tcW w:type="dxa" w:w="3288"/>
          </w:tcPr>
          <w:p>
            <w:r/>
            <w:r>
              <w:rPr>
                <w:sz w:val="18"/>
              </w:rPr>
              <w:t>De batterij valt uit tijdens de meting</w:t>
            </w:r>
          </w:p>
        </w:tc>
        <w:tc>
          <w:tcPr>
            <w:tcW w:type="dxa" w:w="5783"/>
          </w:tcPr>
          <w:p>
            <w:r/>
            <w:r>
              <w:rPr>
                <w:sz w:val="18"/>
              </w:rPr>
              <w:t>De meting is onbruikbaar. Laad op, stel opnieuw nul en begin de conditie opnieuw.</w:t>
            </w:r>
          </w:p>
        </w:tc>
      </w:tr>
      <w:tr>
        <w:tc>
          <w:tcPr>
            <w:tcW w:type="dxa" w:w="3288"/>
          </w:tcPr>
          <w:p>
            <w:r/>
            <w:r>
              <w:rPr>
                <w:sz w:val="18"/>
              </w:rPr>
              <w:t>De deelnemer bleef halverwege staan</w:t>
            </w:r>
          </w:p>
        </w:tc>
        <w:tc>
          <w:tcPr>
            <w:tcW w:type="dxa" w:w="5783"/>
          </w:tcPr>
          <w:p>
            <w:r/>
            <w:r>
              <w:rPr>
                <w:sz w:val="18"/>
              </w:rPr>
              <w:t>Voor de norm geen probleem: MPP verandert er niet door. Wil je de gemiddelden gebruiken, bakent ‘Set Range’ het wandeldeel af — zie hoofdstuk 10.</w:t>
            </w:r>
          </w:p>
        </w:tc>
      </w:tr>
    </w:tbl>
    <w:p/>
    <w:p>
      <w:r>
        <w:br w:type="page"/>
      </w:r>
    </w:p>
    <w:p>
      <w:pPr>
        <w:keepNext/>
        <w:spacing w:before="0" w:after="80"/>
      </w:pPr>
      <w:r>
        <w:rPr>
          <w:b/>
          <w:sz w:val="24"/>
        </w:rPr>
        <w:t>Nog vast te leggen vóór de opleiding</w:t>
      </w:r>
    </w:p>
    <w:p>
      <w:r>
        <w:rPr>
          <w:b w:val="0"/>
          <w:i/>
          <w:sz w:val="20"/>
        </w:rPr>
        <w:t>De punten hieronder zijn niet gedekt door de schermafbeeldingen, de configuratiebestanden, de cataloog of het protocol. Tot ze beslist zijn, is dit een concept.</w:t>
      </w:r>
    </w:p>
    <w:p>
      <w:pPr>
        <w:ind w:left="397" w:hanging="397"/>
      </w:pPr>
      <w:r>
        <w:rPr>
          <w:b/>
        </w:rPr>
        <w:t xml:space="preserve">1. </w:t>
      </w:r>
      <w:r>
        <w:t>De segmentatie in acht regio’s. Het protocol vraagt piekdruk per anatomische regio, maar novel studio kan de zool niet verdelen. De werkwijze in deze instructie — aflezen op het palet en een schermafbeelding bewaren — is een tussenoplossing. Vast te leggen blijft waar en hoe de segmentatie uiteindelijk gebeurt, en of de afgelezen waarden dan opnieuw berekend moeten worden.</w:t>
      </w:r>
    </w:p>
    <w:p>
      <w:pPr>
        <w:ind w:left="397" w:hanging="397"/>
      </w:pPr>
      <w:r>
        <w:rPr>
          <w:b/>
        </w:rPr>
        <w:t xml:space="preserve">2. </w:t>
      </w:r>
      <w:r>
        <w:t>Of ‘Set Range’ de waarden herberekent of alleen de grafiek inzoomt. Te toetsen tijdens de droogloop, met één opname die twee keer wordt afgelezen.</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Minimum batterijniveau om aan een meting te beginnen.</w:t>
      </w:r>
    </w:p>
    <w:p>
      <w:pPr>
        <w:ind w:left="397" w:hanging="397"/>
      </w:pPr>
      <w:r>
        <w:rPr>
          <w:b/>
        </w:rPr>
        <w:t xml:space="preserve">5. </w:t>
      </w:r>
      <w:r>
        <w:t>Exportformaat en bestandsnaamgeving, en langs welke weg de meting en de schermafbeeldingen bij het onderzoeksteam raken. Hangt samen met de beslissing over de formulierenroute.</w:t>
      </w:r>
    </w:p>
    <w:p>
      <w:pPr>
        <w:ind w:left="397" w:hanging="397"/>
      </w:pPr>
      <w:r>
        <w:rPr>
          <w:b/>
        </w:rPr>
        <w:t xml:space="preserve">6. </w:t>
      </w:r>
      <w:r>
        <w:t>Wat te doen bij minder dan 12 bruikbare mid-gait stappen, of bij een deelnemer die de 10 meter niet in één keer haalt.</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