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3A5F"/>
          <w:sz w:val="36"/>
        </w:rPr>
        <w:t>Traceability-audit: PARADISE-protocol/eCRF’s versus de internationale</w:t>
      </w:r>
    </w:p>
    <w:p>
      <w:r>
        <w:rPr>
          <w:b/>
          <w:color w:val="123A5F"/>
          <w:sz w:val="36"/>
        </w:rPr>
        <w:t>Core Outcome Set (2024) en Core Descriptor Set (2026)</w:t>
      </w:r>
    </w:p>
    <w:p>
      <w:r>
        <w:rPr>
          <w:i w:val="0"/>
          <w:color w:val="59636E"/>
        </w:rPr>
        <w:t>Datum: 03/08/2026</w:t>
      </w:r>
    </w:p>
    <w:p>
      <w:r>
        <w:rPr>
          <w:i w:val="0"/>
          <w:color w:val="59636E"/>
        </w:rPr>
        <w:t>Bronnen: Staniszewska et al., Diabetes Care 2024;47(11):1958–1968 (COS) — Staniszewska et al., Diabetologia 2026, doi:10.1007/s00125-026-06815-1 (CDS)</w:t>
      </w:r>
    </w:p>
    <w:p>
      <w:r>
        <w:rPr>
          <w:i w:val="0"/>
          <w:color w:val="2E3B47"/>
        </w:rPr>
        <w:t>Status: alle items van beide gepubliceerde consensus-sets zijn individueel afgetoetst tegen het protocol (Protocol_PARADISE_17_05_2026.docx) en de volledige eCRF-set (00–47).</w:t>
      </w:r>
    </w:p>
    <w:p>
      <w:pPr>
        <w:spacing w:before="320"/>
      </w:pPr>
      <w:r>
        <w:rPr>
          <w:b/>
          <w:color w:val="123A5F"/>
          <w:sz w:val="28"/>
        </w:rPr>
        <w:t>1. Doel en methode</w:t>
      </w:r>
    </w:p>
    <w:p>
      <w:r>
        <w:rPr>
          <w:i w:val="0"/>
          <w:color w:val="2E3B47"/>
        </w:rPr>
        <w:t>Deze doorlichting gaat verder dan de eerder toegepaste 4 evidente aanvullingen. Alle 8 eindpunten uit de Core Outcome Set (COS) en alle 28 descriptoren uit de Core Descriptor Set (CDS) — verdeeld over 9 domeinen — zijn stuk voor stuk nagekeken: bestaat er een concreet eCRF-veld, protocolzin of meetinstrument dat dit item dekt? Waar dat niet zo was, is een concrete aanvulling doorgevoerd (of aan u voorgelegd, wanneer het een inhoudelijke of juridische keuze betrof).</w:t>
      </w:r>
    </w:p>
    <w:p>
      <w:r>
        <w:rPr>
          <w:i w:val="0"/>
          <w:color w:val="2E3B47"/>
        </w:rPr>
        <w:t>Doel: bij publicatie van het PARADISE-protocol beide artikelen kunnen citeren als methodologische onderbouwing, met een volledig aantoonbare koppeling tussen elk COS-eindpunt/CDS-descriptor en de plaats waar het in de studie effectief wordt gemeten.</w:t>
      </w:r>
    </w:p>
    <w:p>
      <w:pPr>
        <w:spacing w:before="320"/>
      </w:pPr>
      <w:r>
        <w:rPr>
          <w:b/>
          <w:color w:val="123A5F"/>
          <w:sz w:val="28"/>
        </w:rPr>
        <w:t>2. Wat is aangepast tijdens deze doorlichting</w:t>
      </w:r>
    </w:p>
    <w:p>
      <w:r>
        <w:rPr>
          <w:i w:val="0"/>
          <w:color w:val="2E3B47"/>
        </w:rPr>
        <w:t>Onderstaande wijzigingen zijn doorgevoerd en gepusht naar de Git-repository (commits da5b91a, 19c175d, a6dd420, 42a0a26):</w:t>
      </w:r>
    </w:p>
    <w:p>
      <w:pPr>
        <w:pStyle w:val="ListBullet"/>
      </w:pPr>
      <w:r>
        <w:rPr>
          <w:color w:val="2E3B47"/>
        </w:rPr>
        <w:t>eCRF 07: rookstatus uitgebreid van “huidige status” naar volledige rookgeschiedenis (nooit/ex-/huidige roker)</w:t>
      </w:r>
    </w:p>
    <w:p>
      <w:pPr>
        <w:pStyle w:val="ListBullet"/>
      </w:pPr>
      <w:r>
        <w:rPr>
          <w:color w:val="2E3B47"/>
        </w:rPr>
        <w:t>eCRF 07: veld 2.18 “Voorgeschiedenis ulcus” (stond volledig leeg) ingevuld met alle kenmerken van het kwalificerende ulcus: locatie, datum ontstaan/genezing, grootte, diepte, osteomyelitis, wekedeleninfectie</w:t>
      </w:r>
    </w:p>
    <w:p>
      <w:pPr>
        <w:pStyle w:val="ListBullet"/>
      </w:pPr>
      <w:r>
        <w:rPr>
          <w:color w:val="2E3B47"/>
        </w:rPr>
        <w:t>eCRF 07: nieuw veld 2.24 “Huidig gebruik van antibiotica”</w:t>
      </w:r>
    </w:p>
    <w:p>
      <w:pPr>
        <w:pStyle w:val="ListBullet"/>
      </w:pPr>
      <w:r>
        <w:rPr>
          <w:color w:val="2E3B47"/>
        </w:rPr>
        <w:t>eCRF 07: nieuw veld 1.13 “Geboorteland” — gekozen als niet-gevoelige proxy voor het CDS-descriptor “race/ethnicity”, na uw keuze om etniciteit zelf niet te bevragen omwille van AVG/GDPR-gevoeligheid</w:t>
      </w:r>
    </w:p>
    <w:p>
      <w:pPr>
        <w:pStyle w:val="ListBullet"/>
      </w:pPr>
      <w:r>
        <w:rPr>
          <w:color w:val="2E3B47"/>
        </w:rPr>
        <w:t>Nieuw eCRF 46: AE/SAE Report Form — dekt de COS-eindpunten majeure amputatie, mineure amputatie en mortaliteit, die voordien geen eigen registratie-instrument hadden (protocol verwees enkel generiek naar “adverse event reporting, zie Sectie 6”)</w:t>
      </w:r>
    </w:p>
    <w:p>
      <w:pPr>
        <w:pStyle w:val="ListBullet"/>
      </w:pPr>
      <w:r>
        <w:rPr>
          <w:color w:val="2E3B47"/>
        </w:rPr>
        <w:t>eCRF 46: eerste versie gebruikte de site-huisstijl (oranje balken, kleur 00407A) — volledig herbouwd in de effectieve eCRF-Worddocument-huisstijl (navy 123A5F, geen achtergrondkleuren, losse checkbox-regels), consistent met eCRF 36/44/45a/45b</w:t>
      </w:r>
    </w:p>
    <w:p>
      <w:pPr>
        <w:pStyle w:val="ListBullet"/>
      </w:pPr>
      <w:r>
        <w:rPr>
          <w:color w:val="2E3B47"/>
        </w:rPr>
        <w:t>Nieuw eCRF 47: Ulcus-vervolgformulier — dekt de COS-eindpunten “wound healing” en “time to healing”, die voordien niet meetbaar waren: het protocol classificeerde een ulcus bij optreden (PEDIS/WIfI) maar had geen mechanisme om te registreren of en wanneer het geneest, en er bestond geen eCRF-document voor de in de protocoltekst genoemde Cardiff Wound Impact Schedule</w:t>
      </w:r>
    </w:p>
    <w:p>
      <w:pPr>
        <w:pStyle w:val="ListBullet"/>
      </w:pPr>
      <w:r>
        <w:rPr>
          <w:color w:val="2E3B47"/>
        </w:rPr>
        <w:t>Protocol §3.2.3, §5.5.6 en §6.1/6.2: expliciete verwijzingen naar eCRF 46/47 toegevoegd i.p.v. generieke tekst</w:t>
      </w:r>
    </w:p>
    <w:p>
      <w:pPr>
        <w:pStyle w:val="ListBullet"/>
      </w:pPr>
      <w:r>
        <w:rPr>
          <w:color w:val="2E3B47"/>
        </w:rPr>
        <w:t>protocol-analyse.html: nieuw domein “Veiligheid (AE/SAE)” + ontbrekende overzichtsrijen voor eCRF 44/45/45a/45b toegevoegd</w:t>
      </w:r>
    </w:p>
    <w:p>
      <w:pPr>
        <w:pStyle w:val="ListBullet"/>
      </w:pPr>
      <w:r>
        <w:rPr>
          <w:color w:val="2E3B47"/>
        </w:rPr>
        <w:t>Beslissing herzien (03/08/2026): de Cardiff Wound Impact Schedule wordt toch volledig uitgewerkt, niet geschrapt. eCRF 47 is terug aangevuld met de Cardiff-tracking, protocol §5.5.6 en protocol-analyse.html zijn hersteld, en een nieuw eCRF 47b (plaatshouder) is toegevoegd voor het officiële instrument zelf, naar het model van eCRF 34b/35b. Het team bespreekt dit item opnieuw voor de definitieve keuze.</w:t>
      </w:r>
    </w:p>
    <w:p>
      <w:pPr>
        <w:pStyle w:val="ListBullet"/>
      </w:pPr>
      <w:r>
        <w:rPr>
          <w:color w:val="2E3B47"/>
        </w:rPr>
        <w:t>Kleine tekstcorrectie: “e-CRF Document 05-ICF-Mangement” → “eCRF-Document 05-ICF-Management” (spelfout + inconsistente schrijfwijze)</w:t>
      </w:r>
    </w:p>
    <w:p>
      <w:pPr>
        <w:spacing w:before="320"/>
      </w:pPr>
      <w:r>
        <w:rPr>
          <w:b/>
          <w:color w:val="123A5F"/>
          <w:sz w:val="28"/>
        </w:rPr>
        <w:t>3. Core Outcome Set — dekking (8/8)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8A296"/>
          <w:left w:val="single" w:sz="4" w:space="0" w:color="A8A296"/>
          <w:bottom w:val="single" w:sz="4" w:space="0" w:color="A8A296"/>
          <w:right w:val="single" w:sz="4" w:space="0" w:color="A8A296"/>
          <w:insideH w:val="single" w:sz="4" w:space="0" w:color="A8A296"/>
          <w:insideV w:val="single" w:sz="4" w:space="0" w:color="A8A296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COS-eindpunt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Waar gedekt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Wound healing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47 (Ulcus-vervolgformulier, §2 Genezingsstatus) + protocol §5.5.6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Time to healing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47 (datum vaststelling vs. datum genezing) + protocol §3.2.3/§5.5.6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New/recurrent ulceration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Co-primair eindpunt van de studie — protocol §3.2.2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Infection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36 (PEDIS) / 38 (WIfI) classificatie + protocol §3.2.3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Major amputation (above ankle)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46 (AE/SAE Report Form, §3) + protocol §3.2.3/§6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Minor amputation (below ankle)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46 (AE/SAE Report Form, §3) + protocol §3.2.3/§6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Health-related quality of life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21 (EQ-5D-5L, elke kwartaalvisite) + protocol §3.2.3/§7.1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Mortality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46 (AE/SAE Report Form, §4) + protocol §3.2.3/§6 (all-cause mortality toegevoegd aan eindpuntenlijst)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</w:tbl>
    <w:p>
      <w:pPr>
        <w:spacing w:before="320"/>
      </w:pPr>
      <w:r>
        <w:rPr>
          <w:b/>
          <w:color w:val="123A5F"/>
          <w:sz w:val="28"/>
        </w:rPr>
        <w:t>4. Core Descriptor Set — dekking (27/28 + 1 bewuste keuze)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8A296"/>
          <w:left w:val="single" w:sz="4" w:space="0" w:color="A8A296"/>
          <w:bottom w:val="single" w:sz="4" w:space="0" w:color="A8A296"/>
          <w:right w:val="single" w:sz="4" w:space="0" w:color="A8A296"/>
          <w:insideH w:val="single" w:sz="4" w:space="0" w:color="A8A296"/>
          <w:insideV w:val="single" w:sz="4" w:space="0" w:color="A8A296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CDS-descriptor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Waar gedekt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Status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 — Demografische variabelen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1.3 Geboortedatum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Sex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1.2 Geslacht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Race/ethnicity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Bewust vervangen door 1.13 Geboorteland (AVG/GDPR-motivatie, zie §5)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BMI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1.4–1.6 Lengte/Gewicht/BMI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History of smoking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2.4 Rookstatus (nooit/ex-/huidige roker)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II — Individuele factoren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Prior diabetes-related foot ulcer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Inclusiecriterium + eCRF 06 (ulcushistoriek) + eCRF 07, 2.18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Diabetes-related neuropathy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2.11 (monofilament/stemvork)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Duration of diabetes mellitus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 Diagnosedatum diabetes (afleidbaar)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Type of diabetes mellitus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 Type diabetes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Heart disease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2.20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Chronic kidney disease stage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2.22 CKD-stadium KDIGO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III — Ulcuskenmerken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Osteomyelitis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(kwalificerend ulcus)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Ulcer location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06 (ulcustabel) + eCRF 07, 2.18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Soft tissue infection/cellulitis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(kwalificerend ulcus)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Duration of ulceration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(datum ontstaan/genezing)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Baseline ulcer 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(grootte in cm²)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Ulcer depth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(oppervlakkig/pees-kapsel/bot-gewricht)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IV — Limbkenmerken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Perfusion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2.12 (ABI/pulsaties)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Peripheral arterial disease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2.12 (PAD-diagnose arts)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 — Lopende medische interventies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Current use of antibiotics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2.24 (nieuw toegevoegd)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Offloading treatments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De volledige CMFO/schoeisel-interventie — kern van de studie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VI — Eerdere chirurgische interventies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Previous amputation (minor/major)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2.19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VII — Medicatiegeschiedenis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Insulin / oral glucose-lowering / non-insulin injectables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2.23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VIII — Biochemische metingen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Glycaemic management (HbA1c)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2.3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eGFR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2.21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IX — QoL/functie/symptomen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Health-related quality of life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21 (EQ-5D-5L) — zelfde instrument als bij het COS-eindpunt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</w:tbl>
    <w:p>
      <w:pPr>
        <w:spacing w:before="320"/>
      </w:pPr>
      <w:r>
        <w:rPr>
          <w:b/>
          <w:color w:val="123A5F"/>
          <w:sz w:val="28"/>
        </w:rPr>
        <w:t>5. TO DO — openstaande actiepunten voor EC-indiening</w:t>
      </w:r>
    </w:p>
    <w:p>
      <w:r>
        <w:rPr>
          <w:i w:val="0"/>
          <w:color w:val="2E3B47"/>
        </w:rPr>
        <w:t>Dit zijn geen structurele gaten meer — de traceability is volledig. Onderstaande punten vragen wel nog een bewuste keuze of handeling van uw kant vóór indiening:</w:t>
      </w:r>
    </w:p>
    <w:p>
      <w:pPr>
        <w:spacing w:before="160"/>
      </w:pPr>
      <w:r>
        <w:rPr>
          <w:b/>
          <w:color w:val="123A5F"/>
          <w:sz w:val="23"/>
        </w:rPr>
        <w:t>5.1 Nog te beoordelen rode notities in het protocol</w:t>
      </w:r>
    </w:p>
    <w:p>
      <w:r>
        <w:rPr>
          <w:i w:val="0"/>
          <w:color w:val="2E3B47"/>
        </w:rPr>
        <w:t>Drie notities staan nog open (allemaal deze sessie toegevoegd, dus nog niet door u bekeken):</w:t>
      </w:r>
    </w:p>
    <w:p>
      <w:pPr>
        <w:pStyle w:val="ListNumber"/>
      </w:pPr>
      <w:r>
        <w:rPr>
          <w:color w:val="2E3B47"/>
        </w:rPr>
        <w:t>Doc 12 (VAS-tevredenheid) — herhaling bij V8 toegevoegd aan §5.5.2/§5.5.5; notitie bevestigt de beslissing</w:t>
      </w:r>
    </w:p>
    <w:p>
      <w:pPr>
        <w:pStyle w:val="ListNumber"/>
      </w:pPr>
      <w:r>
        <w:rPr>
          <w:color w:val="2E3B47"/>
        </w:rPr>
        <w:t>Interviewaantal in §5.6/§7.1 — herschreven naar 3 stakeholdergroepen (36–48 interviews i.p.v. het foutieve ‘32’)</w:t>
      </w:r>
    </w:p>
    <w:p>
      <w:pPr>
        <w:pStyle w:val="ListNumber"/>
      </w:pPr>
      <w:r>
        <w:rPr>
          <w:color w:val="2E3B47"/>
        </w:rPr>
        <w:t>§7.1 statistiek — “twee primaire eindpunten” gecorrigeerd naar “eerste co-primaire eindpunt”</w:t>
      </w:r>
    </w:p>
    <w:p>
      <w:r>
        <w:rPr>
          <w:i/>
          <w:color w:val="59636E"/>
        </w:rPr>
        <w:t>Als u akkoord bent met de tekst, kan u deze notities zoals gebruikelijk zelf verwijderen tijdens uw laatste doorloop.</w:t>
      </w:r>
    </w:p>
    <w:p>
      <w:pPr/>
      <w:r>
        <w:rPr>
          <w:b/>
          <w:color w:val="123A5F"/>
          <w:sz w:val="23"/>
        </w:rPr>
        <w:t>5.2 Cardiff Wound Impact Schedule — instrument zelf nog toe te voegen</w:t>
      </w:r>
    </w:p>
    <w:p>
      <w:pPr/>
      <w:r>
        <w:rPr>
          <w:color w:val="2E3B47"/>
        </w:rPr>
        <w:t>eCRF 47 verwijst naar de gevalideerde Nederlandstalige Cardiff Wound Impact Schedule (§5.5.6 protocol), en eCRF 47b is aangemaakt als plaatshouder daarvoor — net als bij eCRF 34b/35b (iMCQ/iPCQ) bevat dit nog niet de vragenlijst zelf. De officiële, gevalideerde versie van dit instrument moet nog aangeschaft/gevonden en in eCRF 47b geplaatst worden.</w:t>
      </w:r>
    </w:p>
    <w:p>
      <w:pPr/>
      <w:r>
        <w:rPr>
          <w:b/>
          <w:color w:val="123A5F"/>
          <w:sz w:val="23"/>
        </w:rPr>
        <w:t>5.3 Informed consent — Cardiff-vragenlijst niet vermeld bij patiënt</w:t>
      </w:r>
    </w:p>
    <w:p>
      <w:pPr/>
      <w:r>
        <w:rPr>
          <w:color w:val="2E3B47"/>
        </w:rPr>
        <w:t>Het patiënten-ICF (eCRF 02) vermeldt reeds algemeen dat nieuwe voetklachten gemeld moeten worden, wat de AE/SAE-meldingsplicht (eCRF 46) dekt. Het ICF vermeldt echter nergens dat een deelnemer, bij het optreden van een nieuw ulcus, een bijkomende vragenlijst (Cardiff Wound Impact Schedule, op 4 en 12 weken) zal moeten invullen. Dit is een nieuwe belasting voor de deelnemer die mogelijk in het ICF vermeld moet worden voor volledige informed consent — te beoordelen door het team/de EC.</w:t>
      </w:r>
    </w:p>
    <w:p>
      <w:pPr>
        <w:spacing w:before="160"/>
      </w:pPr>
      <w:r>
        <w:rPr>
          <w:b/>
          <w:color w:val="123A5F"/>
          <w:sz w:val="23"/>
        </w:rPr>
        <w:t>5.4 Geboorteland als proxy voor race/ethnicity (niet dringend)</w:t>
      </w:r>
    </w:p>
    <w:p>
      <w:r>
        <w:rPr>
          <w:i w:val="0"/>
          <w:color w:val="59636E"/>
        </w:rPr>
        <w:t>Bevestigd: geboorteland (eCRF 07, 1.13) blijft de gekozen proxy. Geen actie nu nodig — enkel bij een eventuele publicatie is het nuttig om deze bewuste afwijking van de letterlijke CDS-aanbeveling (omwille van AVG/GDPR) kort te motiveren in de methodesectie.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