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In addition, participants will complete the validated Dutch version of the Cardiff Wound Impact Schedule at 4 and 12 weeks following ulcer occurrence, as the presence of a foot ulcer is known to negatively impact quality of life. Healing status and the timing of the Cardiff Wound Impact Schedule are recorded at each follow-up contact using eCRF-Document 47 (Ulcus-vervolgformulier), until the ulcer heals, progresses to amputation, or the participant dies.</w:t>
      </w:r>
      <w:r w:rsidRPr="001A7EEE">
        <w:rPr>
          <w:rStyle w:val="whitespace-normal"/>
          <w:rFonts w:ascii="Calibri" w:hAnsi="Calibri" w:cs="Calibri"/>
          <w:sz w:val="22"/>
          <w:szCs w:val="22"/>
        </w:rPr>
      </w:r>
      <w:r w:rsidRPr="001A7EEE">
        <w:rPr>
          <w:rFonts w:ascii="Calibri" w:hAnsi="Calibri" w:cs="Calibri"/>
          <w:sz w:val="22"/>
          <w:szCs w:val="22"/>
        </w:rPr>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