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68F48973">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b w:val="0"/>
              </w:rPr>
              <w:t xml:space="preserve">The </w:t>
            </w:r>
            <w:r w:rsidRPr="00273BD4">
              <w:rPr>
                <w:rFonts w:ascii="Calibri" w:hAnsi="Calibri" w:cs="Calibri"/>
                <w:b/>
                <w:bCs/>
              </w:rPr>
              <w:t>primary endpoint</w:t>
            </w:r>
            <w:r w:rsidR="008D5F13" w:rsidRPr="00273BD4">
              <w:rPr>
                <w:rFonts w:ascii="Calibri" w:hAnsi="Calibri" w:cs="Calibri"/>
                <w:b w:val="0"/>
              </w:rPr>
              <w:t xml:space="preserve"> is the incidence of foot ulceration over an 18-month follow-up period. The </w:t>
            </w:r>
            <w:r w:rsidRPr="00273BD4">
              <w:rPr>
                <w:rFonts w:ascii="Calibri" w:hAnsi="Calibri" w:cs="Calibri"/>
                <w:b/>
              </w:rPr>
              <w:t>secondary endpoints</w:t>
            </w:r>
            <w:r w:rsidR="008D5F13" w:rsidRPr="00273BD4">
              <w:rPr>
                <w:rFonts w:ascii="Calibri" w:hAnsi="Calibri" w:cs="Calibri"/>
                <w:b w:val="0"/>
              </w:rPr>
              <w:t xml:space="preserve"> are: footwear adherence to prescribed protective footwear, assessed every 3 months up to 18 months, which also serves as the pre-specified mediator; cost-effectiveness of the PARADISE intervention compared with usual care over the 18-month follow-up period; and process evaluation outcomes related to implementation, including fidelity, dose, reach, adaptations, and quality of delivery, assessed longitudinally throughout the study.</w:t>
            </w:r>
            <w:r w:rsidRPr="00273BD4">
              <w:rPr>
                <w:rFonts w:ascii="Calibri" w:hAnsi="Calibri" w:cs="Calibri"/>
              </w:rPr>
            </w:r>
            <w:r w:rsidR="008D5F13" w:rsidRPr="00273BD4">
              <w:rPr>
                <w:rFonts w:ascii="Calibri" w:hAnsi="Calibri" w:cs="Calibri"/>
              </w:rPr>
            </w:r>
            <w:r w:rsidRPr="00273BD4">
              <w:rPr>
                <w:rFonts w:ascii="Calibri" w:hAnsi="Calibri" w:cs="Calibri"/>
              </w:rPr>
            </w:r>
            <w:r w:rsidRPr="00273BD4">
              <w:rPr>
                <w:rFonts w:ascii="Calibri" w:hAnsi="Calibri" w:cs="Calibri"/>
                <w:b/>
                <w:bCs/>
              </w:rPr>
            </w:r>
            <w:r w:rsidRPr="00273BD4">
              <w:rPr>
                <w:rFonts w:ascii="Calibri" w:hAnsi="Calibri" w:cs="Calibri"/>
              </w:rPr>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(including the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 or refuse the adherence sensor (Orthotimer) embedded in the orthosis</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14:paraId="132BB3F6" w14:textId="77777777" w:rsidR="007738CF" w:rsidRDefault="00000000">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3.2.2. Primary endpoint</w:t>
      </w:r>
      <w:r w:rsidR="0085662E" w:rsidRPr="00273BD4"/>
      <w:r w:rsidRPr="00273BD4"/>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3.2.3.1. Footwear adherence — secondary endpoint and pre-specified mediator</w:t>
      </w:r>
      <w:r w:rsidR="0085662E" w:rsidRPr="00273BD4">
        <w:rPr>
          <w:rFonts w:ascii="Calibri" w:eastAsiaTheme="minorEastAsia" w:hAnsi="Calibri" w:cs="Calibri"/>
          <w:b/>
          <w:bCs/>
          <w:iCs/>
        </w:rPr>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Adherence to footwear will be defined as wearing their sensor-equipped footwear for 80% of the average daily waking time — the period between the two nights, established from the baseline MoveMonitor profile — and this for 7 days per week. Footwear adherence will be calculated throughout the 18-month study duration and will be read-out every three months, with the primary analysis timepoint at 12 months. Adherence is not a primary endpoint: it is reported as a secondary endpoint and is the pre-specified mediator through which the intervention is expected to act on ulcer recurrence. It therefore carries no success criterion of its own.</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 For footwear adherence as a secondary patient-related outcome measure, we expect 71% (SD 25%) adherence in Usual Care at 18 months based on findings from previous research. We expect an increase in footwear adherence in the Optimal Care group to a level of 85% at 18 months, through the effect of the structured education and behavioural support intervention. With α = 0.05 (two-sided) and power = 80%, enrolment ratio of 1, power calculations show that 100 participants are required (50 per study group). Including a drop-out rate of 15%, this leads to 115 participants for this endpoint. The recruitment target of the trial is set by the primary endpoint (144 participants), so this secondary endpoint is adequately powered.</w:t>
      </w:r>
      <w:r w:rsidRPr="6898190B">
        <w:rPr>
          <w:rFonts w:ascii="Calibri" w:hAnsi="Calibri" w:cs="Calibri"/>
        </w:rPr>
      </w:r>
      <w:r w:rsidRPr="6898190B">
        <w:rPr>
          <w:rFonts w:ascii="Calibri" w:hAnsi="Calibri" w:cs="Calibri"/>
          <w:b/>
          <w:bCs/>
        </w:rPr>
      </w:r>
      <w:r w:rsidRPr="6898190B">
        <w:rPr>
          <w:rFonts w:ascii="Calibri" w:hAnsi="Calibri" w:cs="Calibri"/>
        </w:rPr>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r>
      <w:r w:rsidR="00CE447D">
        <w:rPr>
          <w:rFonts w:ascii="Calibri" w:hAnsi="Calibri" w:cs="Calibri"/>
        </w:rPr>
      </w:r>
      <w:r w:rsidRPr="6898190B">
        <w:rPr>
          <w:rFonts w:ascii="Calibri" w:hAnsi="Calibri" w:cs="Calibri"/>
        </w:rPr>
      </w:r>
      <w:r w:rsidRPr="6898190B">
        <w:rPr>
          <w:rFonts w:ascii="Calibri" w:hAnsi="Calibri" w:cs="Calibri"/>
          <w:b/>
          <w:bCs/>
        </w:rPr>
      </w:r>
      <w:r w:rsidRPr="6898190B">
        <w:rPr>
          <w:rFonts w:ascii="Calibri" w:hAnsi="Calibri" w:cs="Calibri"/>
        </w:rPr>
      </w:r>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45a </w:t>
      </w:r>
      <w:r w:rsidRPr="00A64345">
        <w:rPr>
          <w:rFonts w:ascii="Calibri" w:hAnsi="Calibri" w:cs="Calibri"/>
        </w:rPr>
        <w:t>bi-weekly up to month 3</w:t>
      </w:r>
      <w:r w:rsidRPr="0003215A">
        <w:rPr>
          <w:rFonts w:ascii="Calibri" w:hAnsi="Calibri" w:cs="Calibri"/>
          <w:b/>
          <w:bCs/>
          <w:color w:val="EE0000"/>
        </w:rPr>
        <w:t>;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45b, </w:t>
      </w:r>
      <w:r w:rsidRPr="00A64345">
        <w:rPr>
          <w:rFonts w:ascii="Calibri" w:hAnsi="Calibri" w:cs="Calibri"/>
        </w:rPr>
        <w:t>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(including the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 or refuse the adherence sensor (Orthotimer) embedded in the orthosis</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w:t>
      </w:r>
      <w:r w:rsidRPr="0097545F">
        <w:rPr>
          <w:rFonts w:ascii="Calibri" w:hAnsi="Calibri" w:cs="Calibri"/>
        </w:rPr>
        <w:t xml:space="preserve">Original signed Informed Consent Forms (ICFs) will be retained and archived in the </w:t>
      </w:r>
      <w:r w:rsidRPr="0097545F">
        <w:rPr>
          <w:rFonts w:ascii="Calibri" w:hAnsi="Calibri" w:cs="Calibri"/>
        </w:rPr>
        <w:lastRenderedPageBreak/>
        <w:t>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lastRenderedPageBreak/>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ins w:id="90000" w:author="Claude" w:date="2026-10-08T17:36:01Z">
        <w:r>
          <w:rPr>
            <w:rFonts w:ascii="Calibri" w:hAnsi="Calibri" w:cs="Calibri"/>
          </w:rPr>
          <w:t xml:space="preserve"> In Usual Care, in-shoe plantar pressure is measured only at baseline (visit 1) and at month 6 (visit 4), blinded: the measurement uses a pressure palette with a 50 kPa threshold and the values switched off, so that results are neither shown nor discussed and do not guide the CMFO; the study team extracts the values centrally.</w:t>
        </w:r>
      </w:ins>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del w:id="90001" w:author="Claude" w:date="2026-10-08T17:36:01Z">
        <w:r w:rsidR="002501EF" w:rsidRPr="00273BD4">
          <w:rPr>
            <w:rFonts w:ascii="Calibri" w:hAnsi="Calibri" w:cs="Calibri"/>
            <w:b/>
            <w:bCs/>
            <w:u w:val="single"/>
          </w:rPr>
          <w:delText xml:space="preserve">Barefoot and in-shoe</w:delText>
        </w:r>
      </w:del>
      <w:ins w:id="90002" w:author="Claude" w:date="2026-10-08T17:36:01Z">
        <w:r>
          <w:rPr>
            <w:rFonts w:ascii="Calibri" w:hAnsi="Calibri" w:cs="Calibri"/>
            <w:b/>
            <w:bCs/>
            <w:u w:val="single"/>
          </w:rPr>
          <w:t xml:space="preserve">In-shoe</w:t>
        </w:r>
      </w:ins>
      <w:r w:rsidR="002501EF" w:rsidRPr="00273BD4">
        <w:rPr>
          <w:rFonts w:ascii="Calibri" w:hAnsi="Calibri" w:cs="Calibri"/>
          <w:b/>
          <w:bCs/>
          <w:u w:val="single"/>
        </w:rPr>
        <w:t xml:space="preserv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xml:space="preserve">. Footwear will be modified to improve pressure redistribution when peak plantar pressures exceed 200 kPa or when the podiatrist and pedorthist judge that further pressure reduction is achievable. The goal is to reduce peak plantar pressure by at least 25% </w:t>
      </w:r>
      <w:del w:id="90003" w:author="Claude" w:date="2026-10-08T17:36:01Z">
        <w:r w:rsidRPr="14A59B64">
          <w:rPr>
            <w:rFonts w:ascii="Calibri" w:hAnsi="Calibri" w:cs="Calibri"/>
          </w:rPr>
          <w:delText xml:space="preserve">compared with the baseline measurement taken without the CMFO at fitting (visit 2), which remains the reference at months 6, 12 and 18, or to reach an absolute value below 200 kPa.</w:delText>
        </w:r>
      </w:del>
      <w:ins w:id="90004" w:author="Claude" w:date="2026-10-08T17:36:01Z">
        <w:r>
          <w:rPr>
            <w:rFonts w:ascii="Calibri" w:hAnsi="Calibri" w:cs="Calibri"/>
          </w:rPr>
          <w:t xml:space="preserve">compared with the measurement without the CMFO in the same session, or to reach an absolute value below 200 kPa. If a target region does not meet this benchmark, the CMFO is modified and the measurement with the CMFO is repeated, up to three modifications per session.</w:t>
        </w:r>
      </w:ins>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33F9B72B" w14:textId="77777777" w:rsidR="007738CF" w:rsidRDefault="00000000">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w:t>
      </w:r>
      <w:r w:rsidRPr="00532DE3">
        <w:rPr>
          <w:rFonts w:ascii="Calibri" w:hAnsi="Calibri" w:cs="Calibri"/>
          <w:color w:val="000000" w:themeColor="text1"/>
        </w:rPr>
        <w:lastRenderedPageBreak/>
        <w:t>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0DF4C5A4" w14:textId="77777777" w:rsidR="007738CF" w:rsidRDefault="00000000">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storage capacity (battery lifespan of minimum 20 months).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w:t>
      </w:r>
      <w:del w:id="90005" w:author="Claude" w:date="2026-10-08T17:36:01Z">
        <w:r w:rsidRPr="00273BD4">
          <w:rPr>
            <w:rFonts w:ascii="Calibri" w:hAnsi="Calibri" w:cs="Calibri"/>
          </w:rPr>
          <w:delText xml:space="preserve">These data will be collected during a full week, both at baseline and at 6 months.</w:delText>
        </w:r>
      </w:del>
      <w:ins w:id="90006" w:author="Claude" w:date="2026-10-08T17:36:01Z">
        <w:r>
          <w:rPr>
            <w:rFonts w:ascii="Calibri" w:hAnsi="Calibri" w:cs="Calibri"/>
          </w:rPr>
          <w:t xml:space="preserve">These data will be collected during a full week at baseline only.</w:t>
        </w:r>
      </w:ins>
      <w:r w:rsidRPr="00273BD4">
        <w:rPr>
          <w:rFonts w:ascii="Calibri" w:hAnsi="Calibri" w:cs="Calibri"/>
        </w:rPr>
        <w:t xml:space="preserve">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seven-day profile will be used to determine when a participant gets up and goes to bed. An average daily waking time — the period between the two nights —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that window. Waking time is used rather than weight-bearing time because the compliance sensor and the activity monitor report per calendar day and are not epoch-synchronised</w:t>
      </w:r>
      <w:r w:rsidRPr="00273BD4">
        <w:rPr>
          <w:rFonts w:ascii="Calibri" w:hAnsi="Calibri" w:cs="Calibri"/>
          <w:b/>
          <w:bCs/>
        </w:rPr>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 xml:space="preserve">Baseline plantar pressure measurements: </w:t>
      </w:r>
      <w:del w:id="90007" w:author="Claude" w:date="2026-10-08T17:36:01Z">
        <w:r w:rsidRPr="00881DB4">
          <w:rPr>
            <w:rFonts w:ascii="Calibri" w:hAnsi="Calibri" w:cs="Calibri"/>
          </w:rPr>
          <w:delText xml:space="preserve">Barefoot assessment will be collected</w:delText>
        </w:r>
      </w:del>
      <w:ins w:id="90008" w:author="Claude" w:date="2026-10-08T17:36:01Z">
        <w:r>
          <w:rPr>
            <w:rFonts w:ascii="Calibri" w:hAnsi="Calibri" w:cs="Calibri"/>
          </w:rPr>
          <w:t xml:space="preserve">In-shoe assessment without the CMFO, in the footwear the participant arrives in, will be collected in both arms (blinded in Usual Care, see 5.4.1)</w:t>
        </w:r>
      </w:ins>
      <w:r w:rsidRPr="00881DB4">
        <w:rPr>
          <w:rFonts w:ascii="Calibri" w:hAnsi="Calibri" w:cs="Calibri"/>
        </w:rPr>
        <w:t xml:space="preserve">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pressure redistribution efficacy of CMFO using predetermined benchmarks</w:t>
      </w:r>
      <w:ins w:id="90013" w:author="Claude" w:date="2026-10-08T17:36:01Z">
        <w:r>
          <w:rPr>
            <w:rFonts w:ascii="Calibri" w:hAnsi="Calibri" w:cs="Calibri"/>
          </w:rPr>
          <w:t xml:space="preserve"> (Optimal Care only; there is no pressure measurement in Usual Care at visit 2)</w:t>
        </w:r>
      </w:ins>
      <w:r w:rsidRPr="00273BD4">
        <w:rPr>
          <w:rFonts w:ascii="Calibri" w:hAnsi="Calibri" w:cs="Calibri"/>
        </w:rPr>
        <w:t xml:space="preserve">: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w:t>
      </w:r>
      <w:del w:id="90009" w:author="Claude" w:date="2026-10-08T17:36:01Z">
        <w:r w:rsidRPr="00273BD4">
          <w:rPr>
            <w:rFonts w:ascii="Calibri" w:hAnsi="Calibri" w:cs="Calibri"/>
          </w:rPr>
          <w:delText xml:space="preserve">compared with the baseline measurement taken without the CMFO at fitting (visit 2), which remains the reference at months 6, 12 and 18, or to reach an absolute value below 200 kPa.</w:delText>
        </w:r>
      </w:del>
      <w:ins w:id="90010" w:author="Claude" w:date="2026-10-08T17:36:01Z">
        <w:r>
          <w:rPr>
            <w:rFonts w:ascii="Calibri" w:hAnsi="Calibri" w:cs="Calibri"/>
          </w:rPr>
          <w:t xml:space="preserve">compared with the measurement without the CMFO in the same session, or to reach an absolute value below 200 kPa. If a target region does not meet this benchmark, the CMFO is modified and the measurement with the CMFO is repeated, up to three modifications per session.</w:t>
        </w:r>
      </w:ins>
      <w:r w:rsidRPr="00273BD4">
        <w:rPr>
          <w:rFonts w:ascii="Calibri" w:hAnsi="Calibri" w:cs="Calibri"/>
        </w:rPr>
        <w:t xml:space="preserve">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 xml:space="preserve">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w:t>
      </w:r>
      <w:del w:id="90011" w:author="Claude" w:date="2026-10-08T17:36:01Z">
        <w:r w:rsidRPr="00273BD4">
          <w:rPr>
            <w:rFonts w:ascii="Calibri" w:hAnsi="Calibri" w:cs="Calibri"/>
          </w:rPr>
          <w:delText xml:space="preserve">compared with the baseline measurement taken without the CMFO at fitting (visit 2), which remains the reference at months 6, 12 and 18, or to reach an absolute value below 200 kPa.</w:delText>
        </w:r>
      </w:del>
      <w:ins w:id="90012" w:author="Claude" w:date="2026-10-08T17:36:01Z">
        <w:r>
          <w:rPr>
            <w:rFonts w:ascii="Calibri" w:hAnsi="Calibri" w:cs="Calibri"/>
          </w:rPr>
          <w:t xml:space="preserve">compared with the measurement without the CMFO in the same session, or to reach an absolute value below 200 kPa. If a target region does not meet this benchmark, the CMFO is modified and the measurement with the CMFO is repeated, up to three modifications per session.</w:t>
        </w:r>
      </w:ins>
      <w:r w:rsidRPr="00273BD4">
        <w:rPr>
          <w:rFonts w:ascii="Calibri" w:hAnsi="Calibri" w:cs="Calibri"/>
        </w:rPr>
        <w:t xml:space="preserve">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ins w:id="90014" w:author="Claude" w:date="2026-10-08T17:36:01Z">
        <w:r>
          <w:rPr>
            <w:rFonts w:ascii="Calibri" w:hAnsi="Calibri" w:cs="Calibri"/>
          </w:rPr>
          <w:t xml:space="preserve"> In Usual Care, this measurement takes place at month 6 only and is blinded (see 5.4.1).</w:t>
        </w:r>
      </w:ins>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The effectiveness of the intervention for the primary endpoint (foot ulcer recurrence) will be evaluated as the percentage of participants experiencing a recurring foot ulcer (any type, plantar, or at high-risk sites), using chi-square analysis. The occurrence of ulcer recurrence over time will be examined using log-rank tests and illustrated with Kaplan–Meier curves, accounting for mortality. Footwear adherence is analysed as a secondary endpoint and as the pre-specified mediator. The between-group difference in adherence will be tested with an independent samples Student’s t-test, assuming the data follow a normal distribution. The mediating role of adherence in the effect of the intervention on ulcer recurrence will be examined in a pre-specified mediation analysis, complemented by a subgroup analysis in which patients are divided into high and low adherence groups on the pre-defined 80% threshold (average adherence over 18 months ≥ 80%).</w:t>
      </w:r>
      <w:r w:rsidRPr="00273BD4">
        <w:rPr>
          <w:rFonts w:ascii="Calibri" w:hAnsi="Calibri" w:cs="Calibri"/>
          <w:b/>
          <w:bCs/>
        </w:rPr>
      </w:r>
      <w:r w:rsidRPr="00273BD4">
        <w:rPr>
          <w:rFonts w:ascii="Calibri" w:hAnsi="Calibri" w:cs="Calibri"/>
        </w:rPr>
      </w:r>
      <w:r w:rsidRPr="00881DB4">
        <w:rPr>
          <w:rFonts w:ascii="Calibri" w:hAnsi="Calibri" w:cs="Calibri"/>
        </w:rPr>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14:paraId="024ECFF7" w14:textId="77777777" w:rsidR="007738CF" w:rsidRDefault="00000000">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Pr="001B0A94" w:rsidRDefault="00000000">
      <w:pPr>
        <w:pStyle w:val="Lijstalinea"/>
        <w:rPr>
          <w:color w:val="EE0000"/>
        </w:rPr>
      </w:pPr>
      <w:r w:rsidRPr="001B0A94">
        <w:rPr>
          <w:color w:val="EE0000"/>
        </w:rP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A6550D">
        <w:rPr>
          <w:color w:val="000000"/>
        </w:rPr>
        <w:t>1. Bus SA, Sacco ICN, Monteiro-Soares M, Raspovic A, Paton J, Rasmussen A, et al. 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A6550D">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sidRPr="00A6550D">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van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Pr="00A6550D" w:rsidRDefault="00000000">
      <w:pPr>
        <w:rPr>
          <w:lang w:val="nl-BE"/>
        </w:rPr>
      </w:pPr>
      <w:r>
        <w:rPr>
          <w:color w:val="000000"/>
        </w:rPr>
        <w:t xml:space="preserve">7. Tchero H, Kangambega P, Lin L, Mukisi-Mukaza M, Brunet-Houdard S, Briatte C, et al. Cost of diabetic foot in France, Spain, Italy, Germany and United Kingdom: A systematic review. </w:t>
      </w:r>
      <w:r w:rsidRPr="00A6550D">
        <w:rPr>
          <w:color w:val="000000"/>
          <w:lang w:val="nl-BE"/>
        </w:rPr>
        <w:t>Annales d'Endocrinologie. 2018;79(2):67-74. doi:10.1016/j.ando.2017.11.005</w:t>
      </w:r>
    </w:p>
    <w:p w14:paraId="30808F09" w14:textId="77777777" w:rsidR="00AC160C" w:rsidRDefault="00000000">
      <w:r w:rsidRPr="00A6550D">
        <w:rPr>
          <w:color w:val="000000"/>
          <w:lang w:val="nl-BE"/>
        </w:rPr>
        <w:t xml:space="preserve">8. Van Acker K, Oleen-Burkey M, De Decker L, Vanmaele R, Van Schil P, Matricali G, et al. </w:t>
      </w:r>
      <w:r>
        <w:rPr>
          <w:color w:val="000000"/>
        </w:rPr>
        <w:t>Cost and resource utilization for prevention and treatment of foot lesions in a diabetic foot clinic in Belgium. Diabetes Res Clin Pract. 2000;50(2):87-95. doi:10.1016/s0168-8227(00)00157-1</w:t>
      </w:r>
    </w:p>
    <w:p w14:paraId="4EFC1DDE" w14:textId="77777777" w:rsidR="00AC160C" w:rsidRDefault="00000000">
      <w:r>
        <w:rPr>
          <w:color w:val="000000"/>
        </w:rPr>
        <w:t>9. van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van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Van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De Bruyne S, et al. </w:t>
      </w:r>
      <w:r w:rsidRPr="00A6550D">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A6550D">
        <w:rPr>
          <w:color w:val="000000"/>
          <w:lang w:val="nl-BE"/>
        </w:rPr>
        <w:t>PLoS One. 2014;9(6).</w:t>
      </w:r>
    </w:p>
    <w:p w14:paraId="6DA5A429" w14:textId="77777777" w:rsidR="00AC160C" w:rsidRDefault="00000000">
      <w:r w:rsidRPr="00317505">
        <w:rPr>
          <w:color w:val="000000"/>
          <w:lang w:val="nl-BE"/>
        </w:rPr>
        <w:t xml:space="preserve">16. Bus S, van Netten J, Hinchliffe R, Apelqvist J, Lipsky B, Schaper N, et al. </w:t>
      </w:r>
      <w:r w:rsidRPr="00A6550D">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A6550D">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sidRPr="00A6550D">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de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van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van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van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A6550D">
        <w:rPr>
          <w:color w:val="000000"/>
          <w:lang w:val="nl-BE"/>
        </w:rPr>
        <w:t>Implement Sci. 2011;6:42. doi:10.1186/1748-5908-6-42</w:t>
      </w:r>
    </w:p>
    <w:p w14:paraId="1BE548ED" w14:textId="77777777" w:rsidR="00AC160C" w:rsidRDefault="00000000">
      <w:r w:rsidRPr="00317505">
        <w:rPr>
          <w:color w:val="000000"/>
          <w:lang w:val="nl-BE"/>
        </w:rPr>
        <w:t xml:space="preserve">32. Perrin BM, van Netten JJ, aan de Stegge WB, Busch-Westbroek TE, Bus SA. </w:t>
      </w:r>
      <w:r w:rsidRPr="00A6550D">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van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A6550D">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Diemen: Zorginstituut Nederland; 2024.</w:t>
      </w:r>
    </w:p>
    <w:p w14:paraId="4F3EF897" w14:textId="77777777" w:rsidR="00AC160C" w:rsidRDefault="00000000">
      <w:r w:rsidRPr="00A6550D">
        <w:rPr>
          <w:color w:val="000000"/>
          <w:lang w:val="nl-BE"/>
        </w:rPr>
        <w:t xml:space="preserve">37. Jeffcoate WJ, Bus SA, Game FL, Hinchliffe RJ, Price PE, Schaper NC. </w:t>
      </w:r>
      <w:r>
        <w:rPr>
          <w:color w:val="000000"/>
        </w:rPr>
        <w:t>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Van Den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van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EE9A6" w14:textId="77777777" w:rsidR="003A32C8" w:rsidRDefault="003A32C8" w:rsidP="009D7BE7">
      <w:pPr>
        <w:spacing w:after="0" w:line="240" w:lineRule="auto"/>
      </w:pPr>
      <w:r>
        <w:separator/>
      </w:r>
    </w:p>
  </w:endnote>
  <w:endnote w:type="continuationSeparator" w:id="0">
    <w:p w14:paraId="29145FC9" w14:textId="77777777" w:rsidR="003A32C8" w:rsidRDefault="003A32C8"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17851" w14:textId="77777777" w:rsidR="003A32C8" w:rsidRDefault="003A32C8" w:rsidP="009D7BE7">
      <w:pPr>
        <w:spacing w:after="0" w:line="240" w:lineRule="auto"/>
      </w:pPr>
      <w:r>
        <w:separator/>
      </w:r>
    </w:p>
  </w:footnote>
  <w:footnote w:type="continuationSeparator" w:id="0">
    <w:p w14:paraId="5E88382E" w14:textId="77777777" w:rsidR="003A32C8" w:rsidRDefault="003A32C8"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0A94"/>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32C8"/>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738CF"/>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4345"/>
    <w:rsid w:val="00A6550D"/>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48B"/>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233D"/>
    <w:rsid w:val="00E75237"/>
    <w:rsid w:val="00EA218A"/>
    <w:rsid w:val="00EE798F"/>
    <w:rsid w:val="00FD5F06"/>
    <w:rsid w:val="00FF148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19523</Words>
  <Characters>107382</Characters>
  <Application>Microsoft Office Word</Application>
  <DocSecurity>0</DocSecurity>
  <Lines>894</Lines>
  <Paragraphs>253</Paragraphs>
  <ScaleCrop>false</ScaleCrop>
  <Company/>
  <LinksUpToDate>false</LinksUpToDate>
  <CharactersWithSpaces>126652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108</cp:revision>
  <dcterms:created xsi:type="dcterms:W3CDTF">2026-04-01T07:04:00Z</dcterms:created>
  <dcterms:modified xsi:type="dcterms:W3CDTF">2026-08-05T12:25:00Z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