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Sint-Jan Brugge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namiddag</w:t>
            </w:r>
          </w:p>
          <w:p>
            <w:r>
              <w:rPr>
                <w:b w:val="0"/>
                <w:color w:val="5A6A78"/>
                <w:sz w:val="15"/>
              </w:rPr>
              <w:t>(optie B: ma 30 nov,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(bij optie A alleen de 1e);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Kortrijk, plaats volgt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13 jan 2027, namiddag</w:t>
            </w:r>
          </w:p>
          <w:p>
            <w:r>
              <w:rPr>
                <w:b w:val="0"/>
                <w:color w:val="5A6A78"/>
                <w:sz w:val="15"/>
              </w:rPr>
              <w:t>(optie B: ma 18 jan, voormiddag; de andere datum is het inhaalslot)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Kortrijk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fiche; de data van SEBIA 3 tot 6 zijn voorstellen van Fabienne Dobbels, die de SEBIA-opleiding geeft.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Sint-Jan Brugge?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namiddag (alleen de 1e podoloog)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u; de andere datum wordt het inhaalslot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 voor de 1e podoloog, 4 u, samen met Kortrijk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 voor de 2e podoloog, 4 u, groep Oost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voor de 1e podoloog, 4 u, samen met Kortrijk;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voor de 2e podoloog,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Kunnen beide podologen de technologie en de droogloop bijwonen?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Maandagvoormiddag staat als uw beste moment, maar op maandag staat geen podoloog vermeld. Klopt dat? Past maandag 1 maart voor de eerste podoloog?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