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w:t>
            </w:r>
            <w:proofErr w:type="gramStart"/>
            <w:r w:rsidRPr="005F5A72">
              <w:rPr>
                <w:rFonts w:ascii="Garamond" w:eastAsia="Calibri" w:hAnsi="Garamond"/>
                <w:b/>
                <w:bCs/>
                <w:color w:val="20415A"/>
              </w:rPr>
              <w:t>for</w:t>
            </w:r>
            <w:proofErr w:type="gram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B93FD8"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B93FD8"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B93FD8"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w:t>
      </w:r>
      <w:proofErr w:type="gramStart"/>
      <w:r w:rsidRPr="00815A84">
        <w:rPr>
          <w:rFonts w:ascii="Garamond" w:eastAsia="Calibri" w:hAnsi="Garamond"/>
          <w:b/>
          <w:bCs/>
          <w:color w:val="20415A"/>
          <w:sz w:val="28"/>
          <w:szCs w:val="28"/>
          <w:lang w:val="en-US"/>
        </w:rPr>
        <w:t>.  Introduction</w:t>
      </w:r>
      <w:proofErr w:type="gramEnd"/>
      <w:r w:rsidRPr="00815A84">
        <w:rPr>
          <w:rFonts w:ascii="Garamond" w:eastAsia="Calibri" w:hAnsi="Garamond"/>
          <w:b/>
          <w:bCs/>
          <w:color w:val="20415A"/>
          <w:sz w:val="28"/>
          <w:szCs w:val="28"/>
          <w:lang w:val="en-US"/>
        </w:rPr>
        <w:t xml:space="preserve">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constitutes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w:t>
      </w:r>
      <w:r w:rsidR="00AB331B" w:rsidRPr="005F5A72">
        <w:rPr>
          <w:rFonts w:ascii="Garamond" w:hAnsi="Garamond"/>
          <w:lang w:val="en-US"/>
        </w:rPr>
        <w:fldChar w:fldCharType="end"/>
      </w:r>
      <w:r w:rsidRPr="005F5A72">
        <w:rPr>
          <w:rFonts w:ascii="Garamond" w:hAnsi="Garamond"/>
          <w:lang w:val="en-US"/>
        </w:rPr>
        <w:t xml:space="preserve"> Among people with diabetes, recurrent diabetic foot ulcers (DFUs) remain a leading cause of morbidity, reduced quality of life, and healthcare expenditure: approximately 40% of healed ulcers recur within one year, </w:t>
      </w:r>
      <w:r w:rsidR="00132872" w:rsidRPr="00132872">
        <w:rPr>
          <w:rFonts w:ascii="Garamond" w:hAnsi="Garamond"/>
          <w:lang w:val="en-US"/>
        </w:rPr>
        <w:t>making recurrence prevention a central priority in diabetic-foot management</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3,4</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a persistent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demonstrated value separately, but are not systematically integrated into Belgian diabetic-foot pathways.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while only a minority achieve the &gt;80% weight-bearing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7</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5,8–10</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Building on evidence for pressure-guided footwear optimisation, adherence monitoring, and behavioural interventions, PARADISE extends this approach through personalised behavioural feedback, prolonged follow-up, and integration into routine Belgian multidisciplinary care. This doctoral project will evaluate the clinical effectiveness of PARADISE within Belgian DFCs, generating evidence for sustainable integration of personalised diabetic-foot prevention into routine practice.</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w:t>
      </w:r>
      <w:proofErr w:type="gramStart"/>
      <w:r w:rsidRPr="00815A84">
        <w:rPr>
          <w:rFonts w:ascii="Garamond" w:eastAsia="Calibri" w:hAnsi="Garamond"/>
          <w:b/>
          <w:bCs/>
          <w:color w:val="20415A"/>
          <w:sz w:val="28"/>
          <w:szCs w:val="28"/>
          <w:lang w:val="en-US"/>
        </w:rPr>
        <w:t>.  General</w:t>
      </w:r>
      <w:proofErr w:type="gramEnd"/>
      <w:r w:rsidRPr="00815A84">
        <w:rPr>
          <w:rFonts w:ascii="Garamond" w:eastAsia="Calibri" w:hAnsi="Garamond"/>
          <w:b/>
          <w:bCs/>
          <w:color w:val="20415A"/>
          <w:sz w:val="28"/>
          <w:szCs w:val="28"/>
          <w:lang w:val="en-US"/>
        </w:rPr>
        <w:t xml:space="preserve">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 ensuring trial readiness.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clinical endpoint). </w:t>
      </w:r>
      <w:r w:rsidR="00BC567F" w:rsidRPr="00BC567F">
        <w:rPr>
          <w:rFonts w:ascii="Garamond" w:hAnsi="Garamond"/>
          <w:lang w:val="en-GB"/>
        </w:rPr>
        <w:t>Determine whether adding PARADISE to usual care reduces 18-month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increases objectively measured footwear adherence, and whether adherence mediates the effect on ulcer recurrence. Adherence is measured and reported in full but carries no success criterion of its own</w:t>
      </w:r>
      <w:r w:rsidR="00554604">
        <w:rPr>
          <w:rFonts w:ascii="Garamond" w:hAnsi="Garamond"/>
          <w:lang w:val="en-GB"/>
        </w:rPr>
        <w:t xml:space="preserve">, with </w:t>
      </w:r>
      <w:r w:rsidR="00554604" w:rsidRPr="00554604">
        <w:rPr>
          <w:rFonts w:ascii="Garamond" w:hAnsi="Garamond"/>
          <w:lang w:val="en-GB"/>
        </w:rPr>
        <w:t>the clinically relevant ≥80% threshold as the reference</w:t>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health impact, and integrated effectiveness analysis. </w:t>
      </w:r>
      <w:r w:rsidR="00510604" w:rsidRPr="00510604">
        <w:rPr>
          <w:rFonts w:ascii="Garamond" w:hAnsi="Garamond"/>
          <w:lang w:val="en-GB"/>
        </w:rPr>
        <w:t>Evaluate the broader clinical and patient-centred impact of PARADISE by assessing recurrence characteristics, ulcer-free survival, foot-care behaviour (Nottingham Assessment of Functional Footcare, NAFF), health-related quality of life (EQ-5D-5L), and health-economic outcome</w:t>
      </w:r>
      <w:r w:rsidR="00510604">
        <w:rPr>
          <w:rFonts w:ascii="Garamond" w:hAnsi="Garamond"/>
          <w:lang w:val="en-GB"/>
        </w:rPr>
        <w:t>.</w:t>
      </w:r>
    </w:p>
    <w:p>
      <w:pPr>
        <w:spacing w:after="60"/>
      </w:pPr>
      <w:r>
        <w:rPr>
          <w:b/>
        </w:rPr>
        <w:t xml:space="preserve">Candidate’s contribution and joint PhD. </w:t>
      </w:r>
      <w:r>
        <w:t>This is a joint KU Leuven–VUB doctorate in which two complementary doctoral projects run on the same trial. The present candidate leads the clinical trial: protocol development, ethics and regulatory submission, multicentre coordination, investigator training and site readiness,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the candidate conducts a registered scoping review, “Patient-specific offloading insole design in diabetic foot disease: a scoping review of biomechanical, clinical and health-economic evidence”, and a comparison of conventionally manufactured and 3D-printed custom-made foot orthoses carried out independently of the trial. Local clinical teams deliver patient care and site-level assessments.</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w:t>
      </w:r>
      <w:proofErr w:type="gramStart"/>
      <w:r w:rsidRPr="00815A84">
        <w:rPr>
          <w:rFonts w:ascii="Garamond" w:eastAsia="Calibri" w:hAnsi="Garamond"/>
          <w:b/>
          <w:bCs/>
          <w:color w:val="20415A"/>
          <w:sz w:val="28"/>
          <w:szCs w:val="28"/>
          <w:lang w:val="en-US"/>
        </w:rPr>
        <w:t>.  Methodology</w:t>
      </w:r>
      <w:proofErr w:type="gramEnd"/>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A prospective, multicentre, parallel-group randomised controlled trial (RCT) will randomise 144 adults with diabetes and an IWGDF category 3 high-risk foot in a 1:1 ratio, stratified by centre, across six Belgian RIZIV–INAMI-recognised DFCs in academic and non-academic settings. Participants will be followed for 18 months. Eligible participants have type 1 or type 2 diabetes with a plantar ulcer healed within the preceding 18 months or a partial foot amputation, and use, or are willing to use, prescribed therapeutic footwear.</w:t>
      </w:r>
    </w:p>
    <w:p w14:paraId="54164DBA" w14:textId="77777777" w:rsidR="004E57D3" w:rsidRDefault="00D75C6C" w:rsidP="004E57D3">
      <w:pPr>
        <w:spacing w:after="60"/>
        <w:jc w:val="both"/>
        <w:rPr>
          <w:rFonts w:ascii="Garamond" w:hAnsi="Garamond"/>
          <w:lang w:val="en-GB"/>
        </w:rPr>
      </w:pPr>
      <w:r w:rsidRPr="00D75C6C">
        <w:rPr>
          <w:rFonts w:ascii="Garamond" w:hAnsi="Garamond"/>
          <w:lang w:val="en-GB"/>
        </w:rPr>
        <w:t>Participants will be allocated to Usual Care, representing current Belgian diabetic-foot care, or Optimal Care, comprising Usual Care supplemented with PARADISE.</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Existing in-shoe plantar-pressure systems (Novel/</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&lt;200 kPa or ≥25% reduction from baseline.</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5</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lastRenderedPageBreak/>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6,12,13</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proofErr w:type="spellStart"/>
      <w:r w:rsidRPr="005F5A72">
        <w:rPr>
          <w:rFonts w:ascii="Garamond" w:hAnsi="Garamond"/>
          <w:b/>
          <w:lang w:val="en-US"/>
        </w:rPr>
      </w:r>
      <w:proofErr w:type="spellEnd"/>
      <w:r w:rsidRPr="005F5A72">
        <w:rPr>
          <w:rFonts w:ascii="Garamond" w:hAnsi="Garamond"/>
          <w:b/>
          <w:lang w:val="en-US"/>
        </w:rPr>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9,10,14</w:t>
      </w:r>
      <w:r w:rsidR="00AB331B" w:rsidRPr="005F5A72">
        <w:rPr>
          <w:rFonts w:ascii="Garamond" w:hAnsi="Garamond"/>
          <w:vertAlign w:val="superscript"/>
          <w:lang w:val="en-US"/>
        </w:rPr>
        <w:fldChar w:fldCharType="end"/>
      </w:r>
    </w:p>
    <w:p w14:paraId="392179EA" w14:textId="498C9D72"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Novel</w:t>
      </w:r>
      <w:r w:rsidR="00674EEA">
        <w:rPr>
          <w:rFonts w:ascii="Garamond" w:hAnsi="Garamond"/>
          <w:lang w:val="en-GB"/>
        </w:rPr>
        <w:t xml:space="preserve">: </w:t>
      </w:r>
      <w:proofErr w:type="spellStart"/>
      <w:r w:rsidR="00D27DC8">
        <w:rPr>
          <w:rFonts w:ascii="Garamond" w:hAnsi="Garamond"/>
          <w:lang w:val="en-GB"/>
        </w:rPr>
        <w:t>Pedar</w:t>
      </w:r>
      <w:proofErr w:type="spellEnd"/>
      <w:r w:rsidRPr="0059462D">
        <w:rPr>
          <w:rFonts w:ascii="Garamond" w:hAnsi="Garamond"/>
          <w:lang w:val="en-GB"/>
        </w:rPr>
        <w:t xml:space="preserve"> and F-scan GO measurements with technical partners.</w:t>
      </w:r>
    </w:p>
    <w:p w14:paraId="59200568" w14:textId="585111B7" w:rsidR="00F273F2" w:rsidRPr="006C1A1E" w:rsidRDefault="00B377A1" w:rsidP="004E57D3">
      <w:pPr>
        <w:spacing w:after="60"/>
        <w:jc w:val="both"/>
        <w:rPr>
          <w:rFonts w:ascii="Garamond" w:hAnsi="Garamond"/>
          <w:lang w:val="en-GB"/>
        </w:rPr>
      </w:pPr>
      <w:r>
        <w:drawing>
          <wp:inline xmlns:a="http://schemas.openxmlformats.org/drawingml/2006/main" xmlns:pic="http://schemas.openxmlformats.org/drawingml/2006/picture">
            <wp:extent cx="5652000" cy="3532500"/>
            <wp:docPr id="1709217644" name="Picture 1709217644"/>
            <wp:cNvGraphicFramePr>
              <a:graphicFrameLocks noChangeAspect="1"/>
            </wp:cNvGraphicFramePr>
            <a:graphic>
              <a:graphicData uri="http://schemas.openxmlformats.org/drawingml/2006/picture">
                <pic:pic>
                  <pic:nvPicPr>
                    <pic:cNvPr id="0" name="fig1_nieuw.png"/>
                    <pic:cNvPicPr/>
                  </pic:nvPicPr>
                  <pic:blipFill>
                    <a:blip r:embed="rId21"/>
                    <a:stretch>
                      <a:fillRect/>
                    </a:stretch>
                  </pic:blipFill>
                  <pic:spPr>
                    <a:xfrm>
                      <a:off x="0" y="0"/>
                      <a:ext cx="5652000" cy="3532500"/>
                    </a:xfrm>
                    <a:prstGeom prst="rect"/>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 xml:space="preserve">The primary outcome is plantar foot-ulcer recurrence at 18 months, defined as a new plantar ulcer occurring after enrolment and reflecting </w:t>
      </w:r>
      <w:r>
        <w:rPr>
          <w:rFonts w:ascii="Garamond" w:hAnsi="Garamond"/>
          <w:lang w:val="en-GB"/>
        </w:rPr>
      </w:r>
      <w:r w:rsidRPr="00EA2F33">
        <w:rPr>
          <w:rFonts w:ascii="Garamond" w:hAnsi="Garamond"/>
          <w:lang w:val="en-GB"/>
        </w:rPr>
        <w:t>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5,15</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relative to the clinically relevant ≥80% threshold, and analysed at 12 months with the full 18-month profile reported as a secondary summary.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6,7</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Secondary outcomes comprise ulcer-free survival, recurrence characteristics, plantar-pressure change at 6, 12, and 18 months, foot-care behaviour (NAFF), objectively measured adherence over the full 18 months, 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r w:rsidR="00882E24" w:rsidRPr="008B13B4">
        <w:rPr>
          <w:rFonts w:ascii="Garamond" w:hAnsi="Garamond"/>
          <w:lang w:val="en-GB"/>
        </w:rPr>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16,17</w:t>
      </w:r>
      <w:r w:rsidR="00AB331B" w:rsidRPr="005F5A72">
        <w:rPr>
          <w:rFonts w:ascii="Garamond" w:hAnsi="Garamond"/>
          <w:lang w:val="en-US"/>
        </w:rPr>
        <w:fldChar w:fldCharType="end"/>
      </w:r>
    </w:p>
    <w:p w14:paraId="3440D3F8" w14:textId="4DE7F07A" w:rsidR="00E4342F" w:rsidRPr="004E57D3" w:rsidRDefault="0060331E" w:rsidP="004E57D3">
      <w:pPr>
        <w:spacing w:after="60"/>
        <w:jc w:val="both"/>
        <w:rPr>
          <w:rFonts w:ascii="Garamond" w:hAnsi="Garamond"/>
          <w:lang w:val="en-US"/>
        </w:rPr>
      </w:pPr>
      <w:r w:rsidRPr="005F5A72">
        <w:rPr>
          <w:rFonts w:ascii="Garamond" w:hAnsi="Garamond"/>
          <w:b/>
          <w:lang w:val="en-US"/>
        </w:rPr>
        <w:lastRenderedPageBreak/>
        <w:t xml:space="preserve">Techniques, collaborations and ethics. </w:t>
      </w:r>
      <w:r w:rsidRPr="005F5A72">
        <w:rPr>
          <w:rFonts w:ascii="Garamond" w:hAnsi="Garamond"/>
          <w:lang w:val="en-US"/>
        </w:rPr>
        <w:t>Patient-</w:t>
      </w:r>
      <w:proofErr w:type="spellStart"/>
      <w:r w:rsidRPr="005F5A72">
        <w:rPr>
          <w:rFonts w:ascii="Garamond" w:hAnsi="Garamond"/>
          <w:lang w:val="en-US"/>
        </w:rPr>
        <w:t>centred</w:t>
      </w:r>
      <w:proofErr w:type="spellEnd"/>
      <w:r w:rsidRPr="005F5A72">
        <w:rPr>
          <w:rFonts w:ascii="Garamond" w:hAnsi="Garamond"/>
          <w:lang w:val="en-US"/>
        </w:rPr>
        <w:t xml:space="preserve"> assessments comprise NAFF and EQ-5D-5L.</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18</w:t>
      </w:r>
      <w:r w:rsidR="00AB331B" w:rsidRPr="005F5A72">
        <w:rPr>
          <w:rFonts w:ascii="Garamond" w:hAnsi="Garamond"/>
          <w:lang w:val="en-US"/>
        </w:rPr>
        <w:fldChar w:fldCharType="end"/>
      </w:r>
      <w:r w:rsidRPr="005F5A72">
        <w:rPr>
          <w:rFonts w:ascii="Garamond" w:hAnsi="Garamond"/>
          <w:lang w:val="en-US"/>
        </w:rPr>
        <w:t xml:space="preserve"> </w:t>
      </w:r>
      <w:r w:rsidR="00296877" w:rsidRPr="00296877">
        <w:rPr>
          <w:rFonts w:ascii="Garamond" w:hAnsi="Garamond"/>
          <w:lang w:val="en-GB"/>
        </w:rPr>
        <w:t>The candidate will co-develop multicentre protocols, assessment materials, SEBIA intervention materials, the REDCap data-management system, and the investigator training and monitoring workflows.</w:t>
      </w:r>
    </w:p>
    <w:p w14:paraId="61CA83E5" w14:textId="77777777" w:rsidR="004E57D3" w:rsidRDefault="00296877" w:rsidP="004E57D3">
      <w:pPr>
        <w:spacing w:after="60"/>
        <w:jc w:val="both"/>
        <w:rPr>
          <w:rFonts w:ascii="Garamond" w:hAnsi="Garamond"/>
          <w:lang w:val="en-GB"/>
        </w:rPr>
      </w:pPr>
      <w:r>
        <w:rPr>
          <w:b/>
        </w:rPr>
        <w:t xml:space="preserve">Ethics and regulatory submission. </w:t>
      </w:r>
      <w:r w:rsidRPr="00296877">
        <w:rPr>
          <w:rFonts w:ascii="Garamond" w:hAnsi="Garamond"/>
          <w:b w:val="0"/>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During months 1–6, the candidate will finalise the trial protocol, clinical assessment booklet, electronic case-report forms, and ethics and regulatory submissions in accordance with SPIRIT recommendations for randomised trial protocols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w:t>
      </w:r>
      <w:r w:rsidR="00AB331B" w:rsidRPr="005F5A72">
        <w:rPr>
          <w:rFonts w:ascii="Garamond" w:hAnsi="Garamond"/>
          <w:lang w:val="en-US"/>
        </w:rPr>
        <w:fldChar w:fldCharType="end"/>
      </w:r>
      <w:r w:rsidRPr="005F5A72">
        <w:rPr>
          <w:rFonts w:ascii="Garamond" w:hAnsi="Garamond"/>
          <w:lang w:val="en-US"/>
        </w:rPr>
        <w:t>; a final operational pilot will verify workflow feasibility and data capture before trial initiation.</w:t>
      </w:r>
    </w:p>
    <w:p w14:paraId="5FB4CC3B" w14:textId="39C75EFD" w:rsidR="004E57D3" w:rsidRDefault="00115B8F" w:rsidP="004E57D3">
      <w:pPr>
        <w:spacing w:after="60"/>
        <w:jc w:val="both"/>
        <w:rPr>
          <w:rFonts w:ascii="Garamond" w:hAnsi="Garamond"/>
          <w:lang w:val="en-US"/>
        </w:rPr>
      </w:pPr>
      <w:r w:rsidRPr="00115B8F">
        <w:rPr>
          <w:rFonts w:ascii="Garamond" w:hAnsi="Garamond"/>
          <w:lang w:val="en-GB"/>
        </w:rPr>
        <w:t>Between months 6–24, recruitment and randomisation of 144 participants will proceed across six participating DFCs. Intervention delivery and follow-up will continue until month 42, with quality control and intervention-fidelity monitoring throughout.</w:t>
      </w:r>
    </w:p>
    <w:p w14:paraId="547E1F48" w14:textId="5D31EF43" w:rsidR="00453A31" w:rsidRPr="004E57D3" w:rsidRDefault="00050841" w:rsidP="004E57D3">
      <w:pPr>
        <w:spacing w:after="60"/>
        <w:jc w:val="both"/>
        <w:rPr>
          <w:rFonts w:ascii="Garamond" w:hAnsi="Garamond"/>
          <w:lang w:val="en-US"/>
        </w:rPr>
      </w:pPr>
      <w:r w:rsidRPr="00050841">
        <w:rPr>
          <w:rFonts w:ascii="Garamond" w:hAnsi="Garamond"/>
          <w:lang w:val="en-GB"/>
        </w:rPr>
        <w:t>During months 43–48, database closure, analyses, manuscript preparation and thesis completion will be performed. Manuscript development runs throughout the project; the planned outputs are listed in section 5.</w:t>
      </w:r>
    </w:p>
    <w:p w14:paraId="28DEA708" w14:textId="3BA1AF87" w:rsidR="006C2B33" w:rsidRDefault="00453A31" w:rsidP="004E57D3">
      <w:pPr>
        <w:spacing w:after="60"/>
        <w:jc w:val="both"/>
        <w:rPr>
          <w:rFonts w:ascii="Garamond" w:hAnsi="Garamond"/>
          <w:lang w:val="en-GB"/>
        </w:rPr>
      </w:pPr>
      <w:r>
        <w:drawing>
          <wp:inline xmlns:a="http://schemas.openxmlformats.org/drawingml/2006/main" xmlns:pic="http://schemas.openxmlformats.org/drawingml/2006/picture">
            <wp:extent cx="6192000" cy="3490036"/>
            <wp:docPr id="1709217645" name="Picture 1709217645"/>
            <wp:cNvGraphicFramePr>
              <a:graphicFrameLocks noChangeAspect="1"/>
            </wp:cNvGraphicFramePr>
            <a:graphic>
              <a:graphicData uri="http://schemas.openxmlformats.org/drawingml/2006/picture">
                <pic:pic>
                  <pic:nvPicPr>
                    <pic:cNvPr id="0" name="fig2_nieuw.png"/>
                    <pic:cNvPicPr/>
                  </pic:nvPicPr>
                  <pic:blipFill>
                    <a:blip r:embed="rId22"/>
                    <a:stretch>
                      <a:fillRect/>
                    </a:stretch>
                  </pic:blipFill>
                  <pic:spPr>
                    <a:xfrm>
                      <a:off x="0" y="0"/>
                      <a:ext cx="6192000" cy="3490036"/>
                    </a:xfrm>
                    <a:prstGeom prst="rect"/>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Comparable rates have been achieved in previous multicentre diabetic-foot trials within specialised networks.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20</w:t>
      </w:r>
      <w:r w:rsidR="00AB331B" w:rsidRPr="005F5A72">
        <w:rPr>
          <w:rFonts w:ascii="Garamond" w:hAnsi="Garamond"/>
          <w:lang w:val="en-US"/>
        </w:rPr>
        <w:fldChar w:fldCharType="end"/>
      </w:r>
    </w:p>
    <w:p w14:paraId="24C5AABE" w14:textId="0CBB33CC" w:rsidR="008E150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21</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rPr>
        <w:t>22</w:t>
      </w:r>
      <w:r w:rsidR="00AB331B" w:rsidRPr="005F5A72">
        <w:rPr>
          <w:rFonts w:ascii="Garamond" w:hAnsi="Garamond"/>
          <w:lang w:val="en-US"/>
        </w:rPr>
        <w:fldChar w:fldCharType="end"/>
      </w:r>
    </w:p>
    <w:p w14:paraId="168EABAF" w14:textId="77777777" w:rsidR="0046322F" w:rsidRDefault="0046322F" w:rsidP="004E57D3">
      <w:pPr>
        <w:spacing w:after="60"/>
        <w:jc w:val="both"/>
        <w:rPr>
          <w:rFonts w:ascii="Garamond" w:hAnsi="Garamond"/>
          <w:lang w:val="en-US"/>
        </w:rPr>
      </w:pPr>
    </w:p>
    <w:p w14:paraId="62E86F40" w14:textId="77777777" w:rsidR="0046322F" w:rsidRDefault="0046322F" w:rsidP="004E57D3">
      <w:pPr>
        <w:spacing w:after="60"/>
        <w:jc w:val="both"/>
        <w:rPr>
          <w:rFonts w:ascii="Garamond" w:hAnsi="Garamond"/>
          <w:lang w:val="en-US"/>
        </w:rPr>
      </w:pP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lastRenderedPageBreak/>
        <w:t>5</w:t>
      </w:r>
      <w:proofErr w:type="gramStart"/>
      <w:r w:rsidRPr="00815A84">
        <w:rPr>
          <w:rFonts w:ascii="Garamond" w:eastAsia="Calibri" w:hAnsi="Garamond"/>
          <w:b/>
          <w:bCs/>
          <w:color w:val="20415A"/>
          <w:sz w:val="28"/>
          <w:szCs w:val="28"/>
          <w:lang w:val="en-US"/>
        </w:rPr>
        <w:t>.  Conclusion</w:t>
      </w:r>
      <w:proofErr w:type="gramEnd"/>
      <w:r w:rsidRPr="00815A84">
        <w:rPr>
          <w:rFonts w:ascii="Garamond" w:eastAsia="Calibri" w:hAnsi="Garamond"/>
          <w:b/>
          <w:bCs/>
          <w:color w:val="20415A"/>
          <w:sz w:val="28"/>
          <w:szCs w:val="28"/>
          <w:lang w:val="en-US"/>
        </w:rPr>
        <w:t>: deliverables, related PhDs and pre-existing data</w:t>
      </w:r>
    </w:p>
    <w:p w14:paraId="4FA5A73E" w14:textId="7811FCC2" w:rsidR="00303C57" w:rsidRPr="00CE1C93" w:rsidRDefault="00D43FC7" w:rsidP="004E57D3">
      <w:pPr>
        <w:spacing w:after="60"/>
        <w:jc w:val="both"/>
        <w:rPr>
          <w:rFonts w:ascii="Garamond" w:hAnsi="Garamond"/>
          <w:lang w:val="en-GB"/>
        </w:rPr>
      </w:pPr>
      <w:r w:rsidRPr="005F5A72">
        <w:rPr>
          <w:rFonts w:ascii="Garamond" w:hAnsi="Garamond"/>
          <w:b/>
          <w:lang w:val="en-US"/>
        </w:rPr>
        <w:t xml:space="preserve">Expected deliverables. </w:t>
      </w:r>
      <w:r w:rsidR="00CE1C93" w:rsidRPr="00CE1C93">
        <w:rPr>
          <w:rFonts w:ascii="Garamond" w:hAnsi="Garamond"/>
          <w:lang w:val="en-GB"/>
        </w:rPr>
        <w:t>The project will deliver the first multicentre RCT evaluating PARADISE for diabetic foot-ulcer recurrence prevention within Belgian multidisciplinary DFCs.</w:t>
      </w:r>
    </w:p>
    <w:p w14:paraId="1D2725D5" w14:textId="39345CD8" w:rsidR="004E57D3" w:rsidRDefault="00CE1C93" w:rsidP="004E57D3">
      <w:pPr>
        <w:spacing w:after="60"/>
        <w:jc w:val="both"/>
        <w:rPr>
          <w:rFonts w:ascii="Garamond" w:hAnsi="Garamond"/>
          <w:lang w:val="en-US"/>
        </w:rPr>
      </w:pPr>
      <w:r>
        <w:rPr>
          <w:b/>
        </w:rPr>
        <w:t xml:space="preserve">Planned outputs. </w:t>
      </w:r>
      <w:r w:rsidRPr="00CE1C93">
        <w:rPr>
          <w:rFonts w:ascii="Garamond" w:hAnsi="Garamond"/>
          <w:lang w:val="en-GB"/>
        </w:rPr>
        <w:t>Six manuscripts are planned. (1) The scoping review “Patient-specific offloading insole design in diabetic foot disease: a scoping review of biomechanical, clinical and health-economic evidence”, with the protocol registered before searching and reporting according to PRISMA-ScR (months 1–12). (2) The trial protocol paper, reported according to SPIRIT 2025 and TIDieR (months 1–9). (3) Regional peak plantar-pressure reference values in people with diabetes, derived from low- and high-resolution in-shoe measurements (months 12–24). (4) A comparison of plantar-pressure redistribution achieved with conventionally manufactured and 3D-printed custom-made foot orthoses in people with and without diabetes; this study runs outside the PARADISE trial but informs orthosis design within the doctoral trajectory (months 18–36). (5) The primary effectiveness analysis of ulcer recurrence at 18 months (months 43–48). (6) The pre-specified mediation analysis of footwear adherence, including the full 18-month adherence profile (months 43–48). Trial publications will be reported according to CONSORT recommendations.</w:t>
      </w:r>
      <w:proofErr w:type="spellStart"/>
      <w:r w:rsidR="0034537E">
        <w:rPr>
          <w:rFonts w:ascii="Garamond" w:hAnsi="Garamond"/>
          <w:lang w:val="en-GB"/>
        </w:rPr>
      </w:r>
      <w:proofErr w:type="spellEnd"/>
      <w:r w:rsidRPr="00CE1C93">
        <w:rPr>
          <w:rFonts w:ascii="Garamond" w:hAnsi="Garamond"/>
          <w:lang w:val="en-GB"/>
        </w:rPr>
      </w:r>
      <w:r w:rsidR="00303C57" w:rsidRPr="005F5A72">
        <w:rPr>
          <w:rFonts w:ascii="Garamond" w:hAnsi="Garamond"/>
          <w:lang w:val="en-US"/>
        </w:rPr>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p>
    <w:p w14:paraId="240418CB" w14:textId="06F7487C" w:rsidR="0029137C" w:rsidRPr="004E57D3" w:rsidRDefault="00D43FC7" w:rsidP="004E57D3">
      <w:pPr>
        <w:spacing w:after="60"/>
        <w:jc w:val="both"/>
        <w:rPr>
          <w:rFonts w:ascii="Garamond" w:hAnsi="Garamond"/>
          <w:lang w:val="en-US"/>
        </w:rPr>
      </w:pPr>
      <w:r w:rsidRPr="005F5A72">
        <w:rPr>
          <w:rFonts w:ascii="Garamond" w:hAnsi="Garamond"/>
          <w:b/>
          <w:lang w:val="en-US"/>
        </w:rPr>
        <w:t xml:space="preserve">Pre-existing data. </w:t>
      </w:r>
      <w:r w:rsidR="00462EA7" w:rsidRPr="00462EA7">
        <w:rPr>
          <w:rFonts w:ascii="Garamond" w:hAnsi="Garamond"/>
          <w:lang w:val="en-GB"/>
        </w:rPr>
        <w:t>Pilot observations from a 2023–2024 pressure-guided footwear pathway may inform trial preparation; use will be assessed and approved by the doctoral committee.</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60"/>
        <w:ind w:left="0" w:firstLine="0"/>
        <w:rPr>
          <w:rFonts w:ascii="Garamond" w:hAnsi="Garamond"/>
          <w:lang w:val="en-US"/>
        </w:rPr>
        <w:sectPr w:rsidR="008D5F36" w:rsidRPr="005F5A72" w:rsidSect="00045568">
          <w:headerReference w:type="default" r:id="rId15"/>
          <w:footerReference w:type="default" r:id="rId16"/>
          <w:headerReference w:type="first" r:id="rId17"/>
          <w:footerReference w:type="first" r:id="rId18"/>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60"/>
        <w:rPr>
          <w:sz w:val="16"/>
          <w:szCs w:val="16"/>
          <w:lang w:val="en-GB"/>
        </w:rPr>
      </w:pPr>
      <w:r w:rsidRPr="0046322F">
        <w:rPr>
          <w:rFonts w:ascii="Garamond" w:hAnsi="Garamond"/>
          <w:sz w:val="16"/>
          <w:szCs w:val="16"/>
          <w:lang w:val="en-US"/>
        </w:rPr>
        <w:fldChar w:fldCharType="begin"/>
      </w:r>
      <w:r w:rsidR="00A275AD" w:rsidRPr="0046322F">
        <w:rPr>
          <w:rFonts w:ascii="Garamond" w:hAnsi="Garamond"/>
          <w:sz w:val="16"/>
          <w:szCs w:val="16"/>
          <w:lang w:val="en-US"/>
        </w:rPr>
        <w:instrText xml:space="preserve"> ADDIN ZOTERO_BIBL {"uncited":[],"omitted":[],"custom":[]} CSL_BIBLIOGRAPHY </w:instrText>
      </w:r>
      <w:r w:rsidRPr="0046322F">
        <w:rPr>
          <w:rFonts w:ascii="Garamond" w:hAnsi="Garamond"/>
          <w:sz w:val="16"/>
          <w:szCs w:val="16"/>
          <w:lang w:val="en-US"/>
        </w:rPr>
        <w:fldChar w:fldCharType="separate"/>
      </w:r>
      <w:r w:rsidR="00A275AD" w:rsidRPr="0046322F">
        <w:rPr>
          <w:sz w:val="16"/>
          <w:szCs w:val="16"/>
          <w:lang w:val="en-GB"/>
        </w:rPr>
        <w:t>1.</w:t>
      </w:r>
      <w:r w:rsidR="00A275AD"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38BE5B1A" w14:textId="77777777" w:rsidR="00A275AD" w:rsidRPr="0046322F" w:rsidRDefault="00A275AD" w:rsidP="004E57D3">
      <w:pPr>
        <w:pStyle w:val="Bibliografie"/>
        <w:spacing w:after="60"/>
        <w:rPr>
          <w:sz w:val="16"/>
          <w:szCs w:val="16"/>
          <w:lang w:val="en-GB"/>
        </w:rPr>
      </w:pPr>
      <w:r w:rsidRPr="0046322F">
        <w:rPr>
          <w:sz w:val="16"/>
          <w:szCs w:val="16"/>
          <w:lang w:val="en-GB"/>
        </w:rPr>
        <w:t>2.</w:t>
      </w:r>
      <w:r w:rsidRPr="0046322F">
        <w:rPr>
          <w:sz w:val="16"/>
          <w:szCs w:val="16"/>
          <w:lang w:val="en-GB"/>
        </w:rPr>
        <w:tab/>
        <w:t>admin-sciensano. For a Healthy Belgium [Internet]. 2025 [geciteerd 4 juni 2026]. Diabetes.</w:t>
      </w:r>
    </w:p>
    <w:p w14:paraId="79B9C85D" w14:textId="77777777" w:rsidR="00A275AD" w:rsidRPr="0046322F" w:rsidRDefault="00A275AD" w:rsidP="004E57D3">
      <w:pPr>
        <w:pStyle w:val="Bibliografie"/>
        <w:spacing w:after="60"/>
        <w:rPr>
          <w:sz w:val="16"/>
          <w:szCs w:val="16"/>
          <w:lang w:val="en-GB"/>
        </w:rPr>
      </w:pPr>
      <w:r w:rsidRPr="0046322F">
        <w:rPr>
          <w:sz w:val="16"/>
          <w:szCs w:val="16"/>
          <w:lang w:val="en-GB"/>
        </w:rPr>
        <w:t>3.</w:t>
      </w:r>
      <w:r w:rsidRPr="0046322F">
        <w:rPr>
          <w:sz w:val="16"/>
          <w:szCs w:val="16"/>
          <w:lang w:val="en-GB"/>
        </w:rPr>
        <w:tab/>
        <w:t>Waaijman R, De Haart M, Arts MLJ, Wever D, Verlouw AJWE, Nollet F, e.a. Risk Factors for Plantar Foot Ulcer Recurrence in Neuropathic Diabetic Patients. Diabetes Care. 2014;37:1697-705.</w:t>
      </w:r>
    </w:p>
    <w:p w14:paraId="67488268" w14:textId="77777777" w:rsidR="00A275AD" w:rsidRPr="0046322F" w:rsidRDefault="00A275AD" w:rsidP="004E57D3">
      <w:pPr>
        <w:pStyle w:val="Bibliografie"/>
        <w:spacing w:after="6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46322F" w:rsidRDefault="00A275AD" w:rsidP="004E57D3">
      <w:pPr>
        <w:pStyle w:val="Bibliografie"/>
        <w:spacing w:after="60"/>
        <w:rPr>
          <w:sz w:val="16"/>
          <w:szCs w:val="16"/>
        </w:rPr>
      </w:pPr>
      <w:r w:rsidRPr="0046322F">
        <w:rPr>
          <w:sz w:val="16"/>
          <w:szCs w:val="16"/>
          <w:lang w:val="en-GB"/>
        </w:rPr>
        <w:t>5.</w:t>
      </w:r>
      <w:r w:rsidRPr="0046322F">
        <w:rPr>
          <w:sz w:val="16"/>
          <w:szCs w:val="16"/>
          <w:lang w:val="en-GB"/>
        </w:rPr>
        <w:tab/>
        <w:t xml:space="preserve">Bus SA, Waaijman R, Arts M, De Haart M, Busch-Westbroek T, Van Baal J, e.a. Effect of Custom-Made Footwear on Foot Ulcer Recurrence in Diabetes. </w:t>
      </w:r>
      <w:r w:rsidRPr="0046322F">
        <w:rPr>
          <w:sz w:val="16"/>
          <w:szCs w:val="16"/>
        </w:rPr>
        <w:t>Diabetes Care. 2013;36:4109-16.</w:t>
      </w:r>
    </w:p>
    <w:p w14:paraId="4D986AE1" w14:textId="77777777" w:rsidR="00A275AD" w:rsidRPr="0046322F" w:rsidRDefault="00A275AD" w:rsidP="004E57D3">
      <w:pPr>
        <w:pStyle w:val="Bibliografie"/>
        <w:spacing w:after="60"/>
        <w:rPr>
          <w:sz w:val="16"/>
          <w:szCs w:val="16"/>
          <w:lang w:val="en-GB"/>
        </w:rPr>
      </w:pPr>
      <w:r w:rsidRPr="0046322F">
        <w:rPr>
          <w:sz w:val="16"/>
          <w:szCs w:val="16"/>
        </w:rPr>
        <w:t>6.</w:t>
      </w:r>
      <w:r w:rsidRPr="0046322F">
        <w:rPr>
          <w:sz w:val="16"/>
          <w:szCs w:val="16"/>
        </w:rPr>
        <w:tab/>
        <w:t xml:space="preserve">Waaijman R, Keukenkamp R, De Haart M, Polomski WP, Nollet F, Bus SA. </w:t>
      </w:r>
      <w:r w:rsidRPr="0046322F">
        <w:rPr>
          <w:sz w:val="16"/>
          <w:szCs w:val="16"/>
          <w:lang w:val="en-GB"/>
        </w:rPr>
        <w:t>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60"/>
        <w:rPr>
          <w:sz w:val="16"/>
          <w:szCs w:val="16"/>
          <w:lang w:val="en-GB"/>
        </w:rPr>
      </w:pPr>
      <w:r w:rsidRPr="0046322F">
        <w:rPr>
          <w:sz w:val="16"/>
          <w:szCs w:val="16"/>
          <w:lang w:val="en-GB"/>
        </w:rPr>
        <w:t>7.</w:t>
      </w:r>
      <w:r w:rsidRPr="0046322F">
        <w:rPr>
          <w:sz w:val="16"/>
          <w:szCs w:val="16"/>
          <w:lang w:val="en-GB"/>
        </w:rPr>
        <w:tab/>
        <w:t>Exterkate SH, Jongebloed‐Westra M, Ten Klooster PM, Koffijberg H, Bode C, Van Gemert‐Pijnen JEWC, e.a. Objectively assessed long‐term wearing patterns and predictors of wearing orthopaedic footwear in people with diabetes at moderate‐to‐high risk of foot ulceration: a 12 months observational study. J Foot Ankle Res. 2023;16:60.</w:t>
      </w:r>
    </w:p>
    <w:p w14:paraId="6C39352E" w14:textId="77777777" w:rsidR="00A275AD" w:rsidRPr="0046322F" w:rsidRDefault="00A275AD" w:rsidP="004E57D3">
      <w:pPr>
        <w:pStyle w:val="Bibliografie"/>
        <w:spacing w:after="6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60"/>
        <w:rPr>
          <w:sz w:val="16"/>
          <w:szCs w:val="16"/>
          <w:lang w:val="en-GB"/>
        </w:rPr>
      </w:pPr>
      <w:r w:rsidRPr="0046322F">
        <w:rPr>
          <w:sz w:val="16"/>
          <w:szCs w:val="16"/>
          <w:lang w:val="en-GB"/>
        </w:rPr>
        <w:t>9.</w:t>
      </w:r>
      <w:r w:rsidRPr="0046322F">
        <w:rPr>
          <w:sz w:val="16"/>
          <w:szCs w:val="16"/>
          <w:lang w:val="en-GB"/>
        </w:rPr>
        <w:tab/>
        <w:t>Michie S, Van Stralen MM, West R. The behaviour change wheel: A new method for characterising and designing behaviour change interventions. Implement Sci. 2011;6:42.</w:t>
      </w:r>
    </w:p>
    <w:p w14:paraId="20E68674" w14:textId="77777777" w:rsidR="00A275AD" w:rsidRPr="0046322F" w:rsidRDefault="00A275AD" w:rsidP="004E57D3">
      <w:pPr>
        <w:pStyle w:val="Bibliografie"/>
        <w:spacing w:after="60"/>
        <w:rPr>
          <w:sz w:val="16"/>
          <w:szCs w:val="16"/>
          <w:lang w:val="en-GB"/>
        </w:rPr>
      </w:pPr>
      <w:r w:rsidRPr="0046322F">
        <w:rPr>
          <w:sz w:val="16"/>
          <w:szCs w:val="16"/>
          <w:lang w:val="en-GB"/>
        </w:rPr>
        <w:t>10.</w:t>
      </w:r>
      <w:r w:rsidRPr="0046322F">
        <w:rPr>
          <w:sz w:val="16"/>
          <w:szCs w:val="16"/>
          <w:lang w:val="en-GB"/>
        </w:rPr>
        <w:tab/>
        <w:t>Michie S, Richardson M, Johnston M, Abraham C, Francis J, Hardeman W, e.a. The Behavior Change Technique Taxonomy (v1) of 93 Hierarchically Clustered Techniques: Building an International Consensus for the Reporting of Behavior Change Interventions. Ann Behav Med. 2013;46:81-95.</w:t>
      </w:r>
    </w:p>
    <w:p w14:paraId="46C0CE55" w14:textId="77777777" w:rsidR="00A275AD" w:rsidRPr="0046322F" w:rsidRDefault="00A275AD" w:rsidP="004E57D3">
      <w:pPr>
        <w:pStyle w:val="Bibliografie"/>
        <w:spacing w:after="60"/>
        <w:rPr>
          <w:sz w:val="16"/>
          <w:szCs w:val="16"/>
          <w:lang w:val="en-GB"/>
        </w:rPr>
      </w:pPr>
      <w:r w:rsidRPr="0046322F">
        <w:rPr>
          <w:sz w:val="16"/>
          <w:szCs w:val="16"/>
          <w:lang w:val="en-GB"/>
        </w:rPr>
        <w:t>11.</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6DB86393" w14:textId="77777777" w:rsidR="00A275AD" w:rsidRPr="0046322F" w:rsidRDefault="00A275AD" w:rsidP="004E57D3">
      <w:pPr>
        <w:pStyle w:val="Bibliografie"/>
        <w:spacing w:after="60"/>
        <w:rPr>
          <w:sz w:val="16"/>
          <w:szCs w:val="16"/>
          <w:lang w:val="en-GB"/>
        </w:rPr>
      </w:pPr>
      <w:r w:rsidRPr="0046322F">
        <w:rPr>
          <w:sz w:val="16"/>
          <w:szCs w:val="16"/>
          <w:lang w:val="en-GB"/>
        </w:rPr>
        <w:t>12.</w:t>
      </w:r>
      <w:r w:rsidRPr="0046322F">
        <w:rPr>
          <w:sz w:val="16"/>
          <w:szCs w:val="16"/>
          <w:lang w:val="en-GB"/>
        </w:rPr>
        <w:tab/>
        <w:t xml:space="preserve">López-Moral M, Molines-Barroso RJ, Herrera-Casamayor M, García-Madrid M, García-Morales E, Lázaro-Martínez JL. Usability of Different Methods to Assess and Improve Adherence to Therapeutic Footwear in Persons with the Diabetic Foot in </w:t>
      </w:r>
      <w:r w:rsidRPr="0046322F">
        <w:rPr>
          <w:sz w:val="16"/>
          <w:szCs w:val="16"/>
          <w:lang w:val="en-GB"/>
        </w:rPr>
        <w:t>Remission. A Systematic Review. Int J Low Extrem Wounds. 2026;25:55-64.</w:t>
      </w:r>
    </w:p>
    <w:p w14:paraId="55D0F04B" w14:textId="77777777" w:rsidR="00A275AD" w:rsidRPr="0046322F" w:rsidRDefault="00A275AD" w:rsidP="004E57D3">
      <w:pPr>
        <w:pStyle w:val="Bibliografie"/>
        <w:spacing w:after="60"/>
        <w:rPr>
          <w:sz w:val="16"/>
          <w:szCs w:val="16"/>
          <w:lang w:val="en-GB"/>
        </w:rPr>
      </w:pPr>
      <w:r w:rsidRPr="0046322F">
        <w:rPr>
          <w:sz w:val="16"/>
          <w:szCs w:val="16"/>
          <w:lang w:val="en-GB"/>
        </w:rPr>
        <w:t>13.</w:t>
      </w:r>
      <w:r w:rsidRPr="0046322F">
        <w:rPr>
          <w:sz w:val="16"/>
          <w:szCs w:val="16"/>
          <w:lang w:val="en-GB"/>
        </w:rPr>
        <w:tab/>
        <w:t>Lutjeboer T, Netten J, Postema K, Hijmans J. Effect of awareness of being monitored on wearing of orthopaedic footwear. J Rehabil Med. 2020;52:jrm00127.</w:t>
      </w:r>
    </w:p>
    <w:p w14:paraId="4B9F4AAE" w14:textId="77777777" w:rsidR="00A275AD" w:rsidRPr="0046322F" w:rsidRDefault="00A275AD" w:rsidP="004E57D3">
      <w:pPr>
        <w:pStyle w:val="Bibliografie"/>
        <w:spacing w:after="60"/>
        <w:rPr>
          <w:sz w:val="16"/>
          <w:szCs w:val="16"/>
          <w:lang w:val="en-GB"/>
        </w:rPr>
      </w:pPr>
      <w:r w:rsidRPr="0046322F">
        <w:rPr>
          <w:sz w:val="16"/>
          <w:szCs w:val="16"/>
          <w:lang w:val="en-GB"/>
        </w:rPr>
        <w:t>14.</w:t>
      </w:r>
      <w:r w:rsidRPr="0046322F">
        <w:rPr>
          <w:sz w:val="16"/>
          <w:szCs w:val="16"/>
          <w:lang w:val="en-GB"/>
        </w:rPr>
        <w:tab/>
        <w:t>Jongebloed-Westra M, Bode C, Van Netten JJ, Ten Klooster PM, Exterkate SH, Koffijberg H, e.a. Using motivational interviewing combined with digital shoe-fitting to improve adherence to wearing orthopedic shoes in people with diabetes at risk of foot ulceration: study protocol for a cluster-randomized controlled trial. Trials. 2021;22:750.</w:t>
      </w:r>
    </w:p>
    <w:p w14:paraId="3900E275" w14:textId="77777777" w:rsidR="00A275AD" w:rsidRPr="0046322F" w:rsidRDefault="00A275AD" w:rsidP="004E57D3">
      <w:pPr>
        <w:pStyle w:val="Bibliografie"/>
        <w:spacing w:after="60"/>
        <w:rPr>
          <w:sz w:val="16"/>
          <w:szCs w:val="16"/>
          <w:lang w:val="en-GB"/>
        </w:rPr>
      </w:pPr>
      <w:r w:rsidRPr="0046322F">
        <w:rPr>
          <w:sz w:val="16"/>
          <w:szCs w:val="16"/>
          <w:lang w:val="en-GB"/>
        </w:rPr>
        <w:t>15.</w:t>
      </w:r>
      <w:r w:rsidRPr="0046322F">
        <w:rPr>
          <w:sz w:val="16"/>
          <w:szCs w:val="16"/>
          <w:lang w:val="en-GB"/>
        </w:rPr>
        <w:tab/>
        <w:t>Vossen LE, Van Netten JJ, Bakker CD, Berendsen HA, Busch-Westbroek TE, Peters EJG, e.a. An integrated personalized assistive devices approach to reduce the risk of foot ulcer recurrence in diabetes (DIASSIST): study protocol for a multicenter randomized controlled trial. Trials. 2023;24:663.</w:t>
      </w:r>
    </w:p>
    <w:p w14:paraId="71FC75E5" w14:textId="77777777" w:rsidR="00A275AD" w:rsidRPr="0046322F" w:rsidRDefault="00A275AD" w:rsidP="004E57D3">
      <w:pPr>
        <w:pStyle w:val="Bibliografie"/>
        <w:spacing w:after="60"/>
        <w:rPr>
          <w:sz w:val="16"/>
          <w:szCs w:val="16"/>
          <w:lang w:val="en-GB"/>
        </w:rPr>
      </w:pPr>
      <w:r w:rsidRPr="0046322F">
        <w:rPr>
          <w:sz w:val="16"/>
          <w:szCs w:val="16"/>
          <w:lang w:val="en-GB"/>
        </w:rPr>
        <w:t>16.</w:t>
      </w:r>
      <w:r w:rsidRPr="0046322F">
        <w:rPr>
          <w:sz w:val="16"/>
          <w:szCs w:val="16"/>
          <w:lang w:val="en-GB"/>
        </w:rPr>
        <w:tab/>
        <w:t>White IR, Royston P, Wood AM. Multiple imputation using chained equations: Issues and guidance for practice. Stat Med. 2011;30:377-99.</w:t>
      </w:r>
    </w:p>
    <w:p w14:paraId="7D43D8C2" w14:textId="77777777" w:rsidR="00A275AD" w:rsidRPr="0046322F" w:rsidRDefault="00A275AD" w:rsidP="004E57D3">
      <w:pPr>
        <w:pStyle w:val="Bibliografie"/>
        <w:spacing w:after="60"/>
        <w:rPr>
          <w:sz w:val="16"/>
          <w:szCs w:val="16"/>
          <w:lang w:val="en-GB"/>
        </w:rPr>
      </w:pPr>
      <w:r w:rsidRPr="0046322F">
        <w:rPr>
          <w:sz w:val="16"/>
          <w:szCs w:val="16"/>
          <w:lang w:val="en-GB"/>
        </w:rPr>
        <w:t>17.</w:t>
      </w:r>
      <w:r w:rsidRPr="0046322F">
        <w:rPr>
          <w:sz w:val="16"/>
          <w:szCs w:val="16"/>
          <w:lang w:val="en-GB"/>
        </w:rPr>
        <w:tab/>
        <w:t>Mallinckrodt C, Lipkovich I, Dickson S, Hendrix S, Molenberghs G. Handling Missing Data in Participants with Baseline but No Post‐Baseline Data. Pharm Stat. 2026;25:e70076.</w:t>
      </w:r>
    </w:p>
    <w:p w14:paraId="2EDF935F" w14:textId="77777777" w:rsidR="00A275AD" w:rsidRPr="0046322F" w:rsidRDefault="00A275AD" w:rsidP="004E57D3">
      <w:pPr>
        <w:pStyle w:val="Bibliografie"/>
        <w:spacing w:after="60"/>
        <w:rPr>
          <w:sz w:val="16"/>
          <w:szCs w:val="16"/>
          <w:lang w:val="en-GB"/>
        </w:rPr>
      </w:pPr>
      <w:r w:rsidRPr="0046322F">
        <w:rPr>
          <w:sz w:val="16"/>
          <w:szCs w:val="16"/>
          <w:lang w:val="en-GB"/>
        </w:rPr>
        <w:t>18.</w:t>
      </w:r>
      <w:r w:rsidRPr="0046322F">
        <w:rPr>
          <w:sz w:val="16"/>
          <w:szCs w:val="16"/>
          <w:lang w:val="en-GB"/>
        </w:rPr>
        <w:tab/>
        <w:t>Herdman M, Gudex C, Lloyd A, Janssen Mf, Kind P, Parkin D, e.a. Development and preliminary testing of the new five-level version of EQ-5D (EQ-5D-5L). Qual Life Res. 2011;20:1727-36.</w:t>
      </w:r>
    </w:p>
    <w:p w14:paraId="522577F5" w14:textId="77777777" w:rsidR="00A275AD" w:rsidRPr="0046322F" w:rsidRDefault="00A275AD" w:rsidP="004E57D3">
      <w:pPr>
        <w:pStyle w:val="Bibliografie"/>
        <w:spacing w:after="60"/>
        <w:rPr>
          <w:sz w:val="16"/>
          <w:szCs w:val="16"/>
          <w:lang w:val="en-GB"/>
        </w:rPr>
      </w:pPr>
      <w:r w:rsidRPr="0046322F">
        <w:rPr>
          <w:sz w:val="16"/>
          <w:szCs w:val="16"/>
          <w:lang w:val="en-GB"/>
        </w:rPr>
        <w:t>19.</w:t>
      </w:r>
      <w:r w:rsidRPr="0046322F">
        <w:rPr>
          <w:sz w:val="16"/>
          <w:szCs w:val="16"/>
          <w:lang w:val="en-GB"/>
        </w:rPr>
        <w:tab/>
        <w:t>Chan AW, Boutron I, Hopewell S, Moher D, Schulz KF, Collins GS, e.a. SPIRIT 2025 statement: updated guideline for protocols of randomised trials. BMJ. 2025;389:e081477.</w:t>
      </w:r>
    </w:p>
    <w:p w14:paraId="0277C0AF" w14:textId="77777777" w:rsidR="00A275AD" w:rsidRPr="0046322F" w:rsidRDefault="00A275AD" w:rsidP="004E57D3">
      <w:pPr>
        <w:pStyle w:val="Bibliografie"/>
        <w:spacing w:after="60"/>
        <w:rPr>
          <w:sz w:val="16"/>
          <w:szCs w:val="16"/>
          <w:lang w:val="en-GB"/>
        </w:rPr>
      </w:pPr>
      <w:r w:rsidRPr="0046322F">
        <w:rPr>
          <w:sz w:val="16"/>
          <w:szCs w:val="16"/>
          <w:lang w:val="en-GB"/>
        </w:rPr>
        <w:t>20.</w:t>
      </w:r>
      <w:r w:rsidRPr="0046322F">
        <w:rPr>
          <w:sz w:val="16"/>
          <w:szCs w:val="16"/>
          <w:lang w:val="en-GB"/>
        </w:rPr>
        <w:tab/>
        <w:t>Jacques RM, Ahmed R, Harper J, Ranjan A, Saeed I, Simpson RM, e.a. Recruitment, consent and retention of participants in randomised controlled trials: a review of trials published in the National Institute for Health Research (NIHR) Journals Library (1997–2020). BMJ Open. 2022;12:e059230.</w:t>
      </w:r>
    </w:p>
    <w:p w14:paraId="4727A269" w14:textId="77777777" w:rsidR="00A275AD" w:rsidRPr="0046322F" w:rsidRDefault="00A275AD" w:rsidP="004E57D3">
      <w:pPr>
        <w:pStyle w:val="Bibliografie"/>
        <w:spacing w:after="60"/>
        <w:rPr>
          <w:sz w:val="16"/>
          <w:szCs w:val="16"/>
          <w:lang w:val="en-GB"/>
        </w:rPr>
      </w:pPr>
      <w:r w:rsidRPr="0046322F">
        <w:rPr>
          <w:sz w:val="16"/>
          <w:szCs w:val="16"/>
          <w:lang w:val="en-GB"/>
        </w:rPr>
        <w:t>21.</w:t>
      </w:r>
      <w:r w:rsidRPr="0046322F">
        <w:rPr>
          <w:sz w:val="16"/>
          <w:szCs w:val="16"/>
          <w:lang w:val="en-GB"/>
        </w:rPr>
        <w:tab/>
        <w:t>Donovan JL, Rooshenas L, Jepson M, Elliott D, Wade J, Avery K, e.a.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60"/>
        <w:rPr>
          <w:sz w:val="16"/>
          <w:szCs w:val="16"/>
          <w:lang w:val="en-GB"/>
        </w:rPr>
      </w:pPr>
      <w:r w:rsidRPr="0046322F">
        <w:rPr>
          <w:sz w:val="16"/>
          <w:szCs w:val="16"/>
          <w:lang w:val="en-GB"/>
        </w:rPr>
        <w:t>22.</w:t>
      </w:r>
      <w:r w:rsidRPr="0046322F">
        <w:rPr>
          <w:sz w:val="16"/>
          <w:szCs w:val="16"/>
          <w:lang w:val="en-GB"/>
        </w:rPr>
        <w:tab/>
        <w:t>Bellg AJ, Borrelli B, Resnick B, Hecht J, Minicucci DS, Ory M, e.a. Enhancing Treatment Fidelity in Health Behavior Change Studies: Best Practices and Recommendations From the NIH Behavior Change Consortium. Health Psychol. 2004;23:443-51.</w:t>
      </w:r>
    </w:p>
    <w:p w14:paraId="31625F9C" w14:textId="77777777" w:rsidR="00A275AD" w:rsidRPr="0046322F" w:rsidRDefault="00A275AD" w:rsidP="004E57D3">
      <w:pPr>
        <w:pStyle w:val="Bibliografie"/>
        <w:spacing w:after="60"/>
        <w:rPr>
          <w:sz w:val="16"/>
          <w:szCs w:val="16"/>
        </w:rPr>
      </w:pPr>
      <w:r w:rsidRPr="0046322F">
        <w:rPr>
          <w:sz w:val="16"/>
          <w:szCs w:val="16"/>
          <w:lang w:val="en-GB"/>
        </w:rPr>
        <w:t>23.</w:t>
      </w:r>
      <w:r w:rsidRPr="0046322F">
        <w:rPr>
          <w:sz w:val="16"/>
          <w:szCs w:val="16"/>
          <w:lang w:val="en-GB"/>
        </w:rPr>
        <w:tab/>
        <w:t xml:space="preserve">Hopewell S, Chan AW, Collins GS, Hróbjartsson A, Moher D, Schulz KF, e.a. CONSORT 2025 statement: updated guideline for reporting randomised trials. </w:t>
      </w:r>
      <w:r w:rsidRPr="0046322F">
        <w:rPr>
          <w:sz w:val="16"/>
          <w:szCs w:val="16"/>
        </w:rPr>
        <w:t>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F88A2" w14:textId="77777777" w:rsidR="00E565BF" w:rsidRDefault="00E565BF">
      <w:r>
        <w:separator/>
      </w:r>
    </w:p>
  </w:endnote>
  <w:endnote w:type="continuationSeparator" w:id="0">
    <w:p w14:paraId="27B9B16F" w14:textId="77777777" w:rsidR="00E565BF" w:rsidRDefault="00E565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108AD" w14:textId="77777777" w:rsidR="00E565BF" w:rsidRDefault="00E565BF">
      <w:r>
        <w:separator/>
      </w:r>
    </w:p>
  </w:footnote>
  <w:footnote w:type="continuationSeparator" w:id="0">
    <w:p w14:paraId="2CB2E3EF" w14:textId="77777777" w:rsidR="00E565BF" w:rsidRDefault="00E565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F1FC4"/>
    <w:rsid w:val="00AF7B24"/>
    <w:rsid w:val="00B00C22"/>
    <w:rsid w:val="00B17EAA"/>
    <w:rsid w:val="00B36FF9"/>
    <w:rsid w:val="00B377A1"/>
    <w:rsid w:val="00B45FE1"/>
    <w:rsid w:val="00B4740A"/>
    <w:rsid w:val="00B51CFC"/>
    <w:rsid w:val="00B546D0"/>
    <w:rsid w:val="00B91E0C"/>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microsoft.com/office/2007/relationships/hdphoto" Target="media/hdphoto1.wdp"/><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mailto:Maaike.Fobelets@vub.b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image" Target="media/image2.emf"/><Relationship Id="rId21" Type="http://schemas.openxmlformats.org/officeDocument/2006/relationships/image" Target="media/image4.png"/><Relationship Id="rId22"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16379</Words>
  <Characters>90086</Characters>
  <Application>Microsoft Office Word</Application>
  <DocSecurity>0</DocSecurity>
  <Lines>750</Lines>
  <Paragraphs>212</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106</cp:revision>
  <dcterms:created xsi:type="dcterms:W3CDTF">2026-07-17T12:03:00Z</dcterms:created>
  <dcterms:modified xsi:type="dcterms:W3CDTF">2026-09-03T06:52:00Z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