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 xml:space="preserve">(for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F774DB"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F774DB"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F774DB"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  Introduction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 This doctoral project will evaluate the clinical effectiveness of PARADISE within Belgian DFCs.</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  General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7F82F04A" w:rsidR="009F3263" w:rsidRPr="00E55EF8" w:rsidRDefault="000C4AA7">
      <w:pPr>
        <w:spacing w:after="60"/>
        <w:rPr>
          <w:lang w:val="en-GB"/>
        </w:rPr>
      </w:pPr>
      <w:r w:rsidRPr="00E55EF8">
        <w:rPr>
          <w:b/>
          <w:lang w:val="en-GB"/>
        </w:rPr>
        <w:t xml:space="preserve">Candidate’s contribution and joint PhD. </w:t>
      </w:r>
      <w:r w:rsidRPr="00E55EF8">
        <w:rPr>
          <w:lang w:val="en-GB"/>
        </w:rPr>
        <w:t xml:space="preserve">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Pr>
          <w:lang w:val="en-GB"/>
        </w:rPr>
        <w:t>the PhD candidate</w:t>
      </w:r>
      <w:r w:rsidR="00E55EF8">
        <w:rPr>
          <w:lang w:val="en-GB"/>
        </w:rPr>
        <w:t xml:space="preserve"> will conduct</w:t>
      </w:r>
      <w:r w:rsidRPr="00E55EF8">
        <w:rPr>
          <w:lang w:val="en-GB"/>
        </w:rPr>
        <w:t xml:space="preserve"> a registered scoping review on patient-specific offloading insole design, and a comparison of 3D-printed custom-made foot orthoses</w:t>
      </w:r>
      <w:r w:rsidR="00F774DB">
        <w:rPr>
          <w:lang w:val="en-GB"/>
        </w:rPr>
        <w:t xml:space="preserve"> in a healthy and diabetic population,</w:t>
      </w:r>
      <w:r w:rsidRPr="00E55EF8">
        <w:rPr>
          <w:lang w:val="en-GB"/>
        </w:rPr>
        <w:t xml:space="preserve">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  Methodology</w:t>
      </w:r>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w:t>
      </w:r>
      <w:r w:rsidR="00D75C6C" w:rsidRPr="00D75C6C">
        <w:rPr>
          <w:rFonts w:ascii="Garamond" w:hAnsi="Garamond"/>
          <w:lang w:val="en-GB"/>
        </w:rPr>
        <w:lastRenderedPageBreak/>
        <w:t>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6C34AECA"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5323795" cy="2981325"/>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5339885" cy="2990335"/>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 xml:space="preserve">Secondary outcomes comprise ulcer-free survival, recurrence characteristics, plantar-pressure change at 6, 12, and 18 months, foot-care behaviour (NAFF), objectively measured adherence over the full 18 months, </w:t>
      </w:r>
      <w:r w:rsidRPr="007760C2">
        <w:rPr>
          <w:rFonts w:ascii="Garamond" w:hAnsi="Garamond"/>
          <w:lang w:val="en-GB"/>
        </w:rPr>
        <w:lastRenderedPageBreak/>
        <w:t>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0F409961"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w:t>
      </w:r>
      <w:r w:rsidR="00EE1630">
        <w:rPr>
          <w:rFonts w:ascii="Garamond" w:hAnsi="Garamond"/>
          <w:lang w:val="en-US"/>
        </w:rPr>
        <w:t>,</w:t>
      </w:r>
      <w:r w:rsidRPr="005F5A72">
        <w:rPr>
          <w:rFonts w:ascii="Garamond" w:hAnsi="Garamond"/>
          <w:lang w:val="en-US"/>
        </w:rPr>
        <w:t xml:space="preserve"> the NAFF for foot-care behaviour and the EQ-5D-5L for health-related quality of life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00EE1630">
        <w:rPr>
          <w:rFonts w:ascii="Garamond" w:hAnsi="Garamond"/>
          <w:lang w:val="en-US"/>
        </w:rPr>
        <w:t>,</w:t>
      </w:r>
      <w:r w:rsidRPr="005F5A72">
        <w:rPr>
          <w:rFonts w:ascii="Garamond" w:hAnsi="Garamond"/>
          <w:lang w:val="en-US"/>
        </w:rPr>
        <w:t xml:space="preserve"> alongside device-derived measures of plantar pressure, footwear wearing time and daily activity. The trial is conducted with the six participating DFCs, with the VUB partners responsible for the process and health-economic evaluation,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6104285" cy="2552700"/>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6115368" cy="2557335"/>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previous multicentre diabetic-foot trials.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lastRenderedPageBreak/>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E55EF8">
        <w:rPr>
          <w:rFonts w:ascii="Garamond" w:hAnsi="Garamond"/>
          <w:vertAlign w:val="superscript"/>
          <w:lang w:val="en-GB"/>
        </w:rPr>
        <w:t>22</w:t>
      </w:r>
      <w:r w:rsidR="00AB331B" w:rsidRPr="005F5A72">
        <w:rPr>
          <w:rFonts w:ascii="Garamond" w:hAnsi="Garamond"/>
          <w:lang w:val="en-US"/>
        </w:rPr>
        <w:fldChar w:fldCharType="end"/>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t>5.  Conclusion: planned outputs and pre-existing data</w:t>
      </w:r>
    </w:p>
    <w:p w14:paraId="1D2725D5" w14:textId="3C48C786"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“Patient-specific offloading insole design in diabetic foot disease”;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5A571793" w:rsidR="0029137C" w:rsidRPr="00EE1630" w:rsidRDefault="00D43FC7" w:rsidP="004E57D3">
      <w:pPr>
        <w:spacing w:after="60"/>
        <w:jc w:val="both"/>
        <w:rPr>
          <w:rFonts w:ascii="Garamond" w:hAnsi="Garamond"/>
          <w:lang w:val="en-GB"/>
        </w:rPr>
      </w:pPr>
      <w:r w:rsidRPr="005F5A72">
        <w:rPr>
          <w:rFonts w:ascii="Garamond" w:hAnsi="Garamond"/>
          <w:b/>
          <w:lang w:val="en-US"/>
        </w:rPr>
        <w:t xml:space="preserve">Pre-existing data. </w:t>
      </w:r>
      <w:r w:rsidR="00EE1630" w:rsidRPr="00EE1630">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Sciensano. Diabetes. In: For a Healthy Belgium [Internet]. 2025 [cited 2026 Jun 4].</w:t>
      </w:r>
      <w:r w:rsidRPr="0046322F">
        <w:rPr>
          <w:sz w:val="16"/>
          <w:szCs w:val="16"/>
          <w:lang w:val="en-GB"/>
        </w:rPr>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et al.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t>5.</w:t>
      </w:r>
      <w:r w:rsidRPr="0046322F">
        <w:rPr>
          <w:sz w:val="16"/>
          <w:szCs w:val="16"/>
          <w:lang w:val="en-GB"/>
        </w:rPr>
        <w:tab/>
        <w:t xml:space="preserve">Bus SA, Waaijman R, Arts M, de Haart M, Busch-Westbroek T, van Baal J, et al. Effect of Custom-Made Footwear on Foot Ulcer Recurrence in Diabetes. </w:t>
      </w:r>
      <w:r w:rsidRPr="00E55EF8">
        <w:rPr>
          <w:sz w:val="16"/>
          <w:szCs w:val="16"/>
          <w:lang w:val="en-GB"/>
        </w:rPr>
        <w:t>Diabetes Care. 2013;36:4109-16.</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t>6.</w:t>
      </w:r>
      <w:r w:rsidRPr="00E55EF8">
        <w:rPr>
          <w:sz w:val="16"/>
          <w:szCs w:val="16"/>
          <w:lang w:val="en-GB"/>
        </w:rPr>
        <w:tab/>
        <w:t xml:space="preserve">Waaijman R, Keukenkamp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Richardson M, Johnston M, Abraham C, Francis J, Hardeman W, et al.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t>12.</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w:t>
      </w:r>
      <w:r w:rsidRPr="0046322F">
        <w:rPr>
          <w:sz w:val="16"/>
          <w:szCs w:val="16"/>
          <w:lang w:val="en-GB"/>
        </w:rPr>
        <w:t>Remission. A Systematic Review. Int J Low Extrem Wounds. 2026;25:55-64.</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Lutjeboer T, van Netten JJ,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et al.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Herdman M, Gudex C, Lloyd A, Janssen MF, Kind P, Parkin D, et al. Development and preliminary testing of the new five-level version of EQ-5D (EQ-5D-5L). Qual Life Res. 2011;20:1727-36.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Chan AW, Boutron I, Hopewell S, Moher D, Schulz KF, Collins GS, et al. SPIRIT 2025 statement: updated guideline for protocols of randomised trials. BMJ. 2025;389:e081477.</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0"/>
        <w:rPr>
          <w:sz w:val="16"/>
          <w:szCs w:val="16"/>
        </w:rPr>
      </w:pPr>
      <w:r w:rsidRPr="0046322F">
        <w:rPr>
          <w:sz w:val="16"/>
          <w:szCs w:val="16"/>
          <w:lang w:val="en-GB"/>
        </w:rPr>
        <w:t>23.</w:t>
      </w:r>
      <w:r w:rsidRPr="0046322F">
        <w:rPr>
          <w:sz w:val="16"/>
          <w:szCs w:val="16"/>
          <w:lang w:val="en-GB"/>
        </w:rPr>
        <w:tab/>
        <w:t xml:space="preserve">Hopewell S, Chan AW, Collins GS, Hróbjartsson A, Moher D, Schulz KF, et al.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C89" w14:textId="77777777" w:rsidR="00AE379F" w:rsidRDefault="00AE379F">
      <w:r>
        <w:separator/>
      </w:r>
    </w:p>
  </w:endnote>
  <w:endnote w:type="continuationSeparator" w:id="0">
    <w:p w14:paraId="29C4E909" w14:textId="77777777" w:rsidR="00AE379F" w:rsidRDefault="00AE3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5D7A9" w14:textId="77777777" w:rsidR="00AE379F" w:rsidRDefault="00AE379F">
      <w:r>
        <w:separator/>
      </w:r>
    </w:p>
  </w:footnote>
  <w:footnote w:type="continuationSeparator" w:id="0">
    <w:p w14:paraId="12FA6429" w14:textId="77777777" w:rsidR="00AE379F" w:rsidRDefault="00AE3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14034</Words>
  <Characters>93053</Characters>
  <Application>Microsoft Office Word</Application>
  <DocSecurity>0</DocSecurity>
  <Lines>1550</Lines>
  <Paragraphs>591</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111</cp:revision>
  <dcterms:created xsi:type="dcterms:W3CDTF">2026-07-17T12:03:00Z</dcterms:created>
  <dcterms:modified xsi:type="dcterms:W3CDTF">2026-09-18T06:49:00Z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