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dp" ContentType="image/vnd.ms-photo"/>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F95C80" w14:textId="3905C0FA" w:rsidR="007D5D60" w:rsidRPr="00815A84" w:rsidRDefault="00DE65E1" w:rsidP="004E57D3">
      <w:pPr>
        <w:pBdr>
          <w:bottom w:val="single" w:sz="10" w:space="6" w:color="2A7F8E"/>
        </w:pBdr>
        <w:spacing w:after="60"/>
        <w:rPr>
          <w:rFonts w:ascii="Garamond" w:hAnsi="Garamond"/>
          <w:sz w:val="32"/>
          <w:szCs w:val="32"/>
          <w:lang w:val="en-US"/>
        </w:rPr>
      </w:pPr>
      <w:r w:rsidRPr="00815A84">
        <w:rPr>
          <w:rFonts w:ascii="Garamond" w:eastAsia="Calibri" w:hAnsi="Garamond"/>
          <w:b/>
          <w:bCs/>
          <w:color w:val="20415A"/>
          <w:sz w:val="32"/>
          <w:szCs w:val="32"/>
          <w:lang w:val="en-US"/>
        </w:rPr>
        <w:t>Towards Pressure-Adherence &amp; Education Driven Service in Diabetic Foot Disease (PARADISE trial)</w:t>
      </w:r>
    </w:p>
    <w:tbl>
      <w:tblPr>
        <w:tblpPr w:leftFromText="141" w:rightFromText="141" w:vertAnchor="text" w:tblpY="1"/>
        <w:tblOverlap w:val="neve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91"/>
        <w:gridCol w:w="7229"/>
      </w:tblGrid>
      <w:tr w:rsidR="007D5D60" w:rsidRPr="005F5A72" w14:paraId="00F95C83"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EAF1F3"/>
            <w:tcMar>
              <w:top w:w="60" w:type="dxa"/>
              <w:left w:w="120" w:type="dxa"/>
              <w:bottom w:w="60" w:type="dxa"/>
              <w:right w:w="120" w:type="dxa"/>
            </w:tcMar>
            <w:vAlign w:val="center"/>
          </w:tcPr>
          <w:p w14:paraId="00F95C81" w14:textId="77777777" w:rsidR="007D5D60" w:rsidRPr="005F5A72" w:rsidRDefault="005309EE" w:rsidP="004E57D3">
            <w:pPr>
              <w:spacing w:after="60"/>
              <w:rPr>
                <w:rFonts w:ascii="Garamond" w:hAnsi="Garamond"/>
              </w:rPr>
            </w:pPr>
            <w:proofErr w:type="spellStart"/>
            <w:r w:rsidRPr="005F5A72">
              <w:rPr>
                <w:rFonts w:ascii="Garamond" w:eastAsia="Calibri" w:hAnsi="Garamond"/>
                <w:b/>
                <w:bCs/>
                <w:color w:val="20415A"/>
              </w:rPr>
              <w:t>Applicant</w:t>
            </w:r>
            <w:proofErr w:type="spellEnd"/>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82" w14:textId="4FAE293A" w:rsidR="007D5D60" w:rsidRPr="005F5A72" w:rsidRDefault="003344D9" w:rsidP="004E57D3">
            <w:pPr>
              <w:spacing w:after="60"/>
              <w:rPr>
                <w:rFonts w:ascii="Garamond" w:hAnsi="Garamond"/>
              </w:rPr>
            </w:pPr>
            <w:r w:rsidRPr="005F5A72">
              <w:rPr>
                <w:rFonts w:ascii="Garamond" w:hAnsi="Garamond"/>
                <w:b/>
                <w:bCs/>
                <w:color w:val="262626" w:themeColor="text1" w:themeTint="D9"/>
              </w:rPr>
              <w:t xml:space="preserve">De Buyser Janou </w:t>
            </w:r>
            <w:hyperlink r:id="rId7" w:history="1">
              <w:r w:rsidR="00734D8C" w:rsidRPr="005F5A72">
                <w:rPr>
                  <w:rStyle w:val="Hyperlink"/>
                  <w:rFonts w:ascii="Garamond" w:hAnsi="Garamond"/>
                  <w14:textFill>
                    <w14:solidFill>
                      <w14:srgbClr w14:val="0563C1">
                        <w14:lumMod w14:val="85000"/>
                        <w14:lumOff w14:val="15000"/>
                      </w14:srgbClr>
                    </w14:solidFill>
                  </w14:textFill>
                </w:rPr>
                <w:t>janou.debuyser@kuleuven.be</w:t>
              </w:r>
            </w:hyperlink>
          </w:p>
        </w:tc>
      </w:tr>
      <w:tr w:rsidR="007D5D60" w:rsidRPr="005F5A72" w14:paraId="00F95C86"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DCE7EB"/>
            <w:tcMar>
              <w:top w:w="60" w:type="dxa"/>
              <w:left w:w="120" w:type="dxa"/>
              <w:bottom w:w="60" w:type="dxa"/>
              <w:right w:w="120" w:type="dxa"/>
            </w:tcMar>
            <w:vAlign w:val="center"/>
          </w:tcPr>
          <w:p w14:paraId="00F95C84" w14:textId="77777777" w:rsidR="007D5D60" w:rsidRPr="005F5A72" w:rsidRDefault="005309EE" w:rsidP="004E57D3">
            <w:pPr>
              <w:spacing w:after="60"/>
              <w:rPr>
                <w:rFonts w:ascii="Garamond" w:hAnsi="Garamond"/>
              </w:rPr>
            </w:pPr>
            <w:r w:rsidRPr="005F5A72">
              <w:rPr>
                <w:rFonts w:ascii="Garamond" w:eastAsia="Calibri" w:hAnsi="Garamond"/>
                <w:b/>
                <w:bCs/>
                <w:color w:val="20415A"/>
              </w:rPr>
              <w:t>Supervisor (promotor)</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85" w14:textId="58A1CBEA" w:rsidR="007D5D60" w:rsidRPr="005F5A72" w:rsidRDefault="00D86181" w:rsidP="004E57D3">
            <w:pPr>
              <w:spacing w:after="60"/>
              <w:rPr>
                <w:rFonts w:ascii="Garamond" w:hAnsi="Garamond"/>
                <w:lang w:val="en-US"/>
              </w:rPr>
            </w:pPr>
            <w:r w:rsidRPr="005F5A72">
              <w:rPr>
                <w:rFonts w:ascii="Garamond" w:hAnsi="Garamond"/>
                <w:b/>
                <w:bCs/>
                <w:color w:val="1B2A33"/>
                <w:lang w:val="en-US"/>
              </w:rPr>
              <w:t>Prof. Kevin Deschamps</w:t>
            </w:r>
            <w:r w:rsidRPr="005F5A72">
              <w:rPr>
                <w:rFonts w:ascii="Garamond" w:hAnsi="Garamond"/>
                <w:color w:val="1B2A33"/>
                <w:lang w:val="en-US"/>
              </w:rPr>
              <w:t xml:space="preserve">, Department of Rehabilitation Sciences, KU </w:t>
            </w:r>
            <w:r w:rsidR="00866286" w:rsidRPr="005F5A72">
              <w:rPr>
                <w:rFonts w:ascii="Garamond" w:hAnsi="Garamond"/>
                <w:color w:val="1B2A33"/>
                <w:lang w:val="en-US"/>
              </w:rPr>
              <w:t>Leuven (</w:t>
            </w:r>
            <w:hyperlink r:id="rId8" w:history="1">
              <w:r w:rsidRPr="005F5A72">
                <w:rPr>
                  <w:rStyle w:val="Hyperlink"/>
                  <w:rFonts w:ascii="Garamond" w:hAnsi="Garamond"/>
                  <w:lang w:val="en-US"/>
                </w:rPr>
                <w:t>kevin.deschamps@kuleuven.be</w:t>
              </w:r>
            </w:hyperlink>
            <w:r w:rsidRPr="005F5A72">
              <w:rPr>
                <w:rFonts w:ascii="Garamond" w:hAnsi="Garamond"/>
              </w:rPr>
              <w:t>)</w:t>
            </w:r>
          </w:p>
        </w:tc>
      </w:tr>
      <w:tr w:rsidR="00D86181" w:rsidRPr="00E13BFC" w14:paraId="00F95C89"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EAF1F3"/>
            <w:tcMar>
              <w:top w:w="60" w:type="dxa"/>
              <w:left w:w="120" w:type="dxa"/>
              <w:bottom w:w="60" w:type="dxa"/>
              <w:right w:w="120" w:type="dxa"/>
            </w:tcMar>
            <w:vAlign w:val="center"/>
          </w:tcPr>
          <w:p w14:paraId="00F95C87" w14:textId="77777777" w:rsidR="00D86181" w:rsidRPr="005F5A72" w:rsidRDefault="00D86181" w:rsidP="004E57D3">
            <w:pPr>
              <w:spacing w:after="60"/>
              <w:rPr>
                <w:rFonts w:ascii="Garamond" w:hAnsi="Garamond"/>
              </w:rPr>
            </w:pPr>
            <w:r w:rsidRPr="005F5A72">
              <w:rPr>
                <w:rFonts w:ascii="Garamond" w:eastAsia="Calibri" w:hAnsi="Garamond"/>
                <w:b/>
                <w:bCs/>
                <w:color w:val="20415A"/>
              </w:rPr>
              <w:t>Co-supervisor(s)</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361248B9" w14:textId="3645CBCA" w:rsidR="00D86181" w:rsidRPr="005F5A72" w:rsidRDefault="00D86181" w:rsidP="004E57D3">
            <w:pPr>
              <w:spacing w:after="60"/>
              <w:rPr>
                <w:rFonts w:ascii="Garamond" w:hAnsi="Garamond"/>
                <w:color w:val="1B2A33"/>
                <w:lang w:val="en-US"/>
              </w:rPr>
            </w:pPr>
            <w:r w:rsidRPr="005F5A72">
              <w:rPr>
                <w:rFonts w:ascii="Garamond" w:hAnsi="Garamond"/>
                <w:b/>
                <w:bCs/>
                <w:color w:val="1B2A33"/>
                <w:lang w:val="en-US"/>
              </w:rPr>
              <w:t>Prof. Fabienne Dobbels</w:t>
            </w:r>
            <w:r w:rsidRPr="005F5A72">
              <w:rPr>
                <w:rFonts w:ascii="Garamond" w:hAnsi="Garamond"/>
                <w:color w:val="1B2A33"/>
                <w:lang w:val="en-US"/>
              </w:rPr>
              <w:t xml:space="preserve">, Academic Centre for Nursing and Midwifery, </w:t>
            </w:r>
            <w:r w:rsidR="00E13BFC">
              <w:rPr>
                <w:rFonts w:ascii="Garamond" w:hAnsi="Garamond"/>
                <w:color w:val="1B2A33"/>
                <w:lang w:val="en-US"/>
              </w:rPr>
              <w:br/>
            </w:r>
            <w:r w:rsidRPr="005F5A72">
              <w:rPr>
                <w:rFonts w:ascii="Garamond" w:hAnsi="Garamond"/>
                <w:color w:val="1B2A33"/>
                <w:lang w:val="en-US"/>
              </w:rPr>
              <w:t>KU Leuven (</w:t>
            </w:r>
            <w:hyperlink r:id="rId9" w:history="1">
              <w:r w:rsidRPr="005F5A72">
                <w:rPr>
                  <w:rStyle w:val="Hyperlink"/>
                  <w:rFonts w:ascii="Garamond" w:hAnsi="Garamond"/>
                  <w:lang w:val="en-US"/>
                </w:rPr>
                <w:t>fabienne.dobbels@kuleuven.be</w:t>
              </w:r>
            </w:hyperlink>
            <w:r w:rsidRPr="005F5A72">
              <w:rPr>
                <w:rFonts w:ascii="Garamond" w:hAnsi="Garamond"/>
                <w:color w:val="1B2A33"/>
                <w:lang w:val="en-US"/>
              </w:rPr>
              <w:t>)</w:t>
            </w:r>
          </w:p>
          <w:p w14:paraId="25EA9D88" w14:textId="3F7E68E9" w:rsidR="00D86181" w:rsidRPr="005F5A72" w:rsidRDefault="00D86181" w:rsidP="004E57D3">
            <w:pPr>
              <w:spacing w:after="60"/>
              <w:rPr>
                <w:rFonts w:ascii="Garamond" w:hAnsi="Garamond"/>
                <w:color w:val="1B2A33"/>
                <w:lang w:val="en-US"/>
              </w:rPr>
            </w:pPr>
            <w:r w:rsidRPr="005F5A72">
              <w:rPr>
                <w:rFonts w:ascii="Garamond" w:hAnsi="Garamond"/>
                <w:b/>
                <w:bCs/>
                <w:color w:val="1B2A33"/>
                <w:lang w:val="en-US"/>
              </w:rPr>
              <w:t xml:space="preserve">Prof. Maaike </w:t>
            </w:r>
            <w:proofErr w:type="spellStart"/>
            <w:r w:rsidRPr="005F5A72">
              <w:rPr>
                <w:rFonts w:ascii="Garamond" w:hAnsi="Garamond"/>
                <w:b/>
                <w:bCs/>
                <w:color w:val="1B2A33"/>
                <w:lang w:val="en-US"/>
              </w:rPr>
              <w:t>Fobelets</w:t>
            </w:r>
            <w:proofErr w:type="spellEnd"/>
            <w:r w:rsidRPr="005F5A72">
              <w:rPr>
                <w:rFonts w:ascii="Garamond" w:hAnsi="Garamond"/>
                <w:color w:val="1B2A33"/>
                <w:lang w:val="en-US"/>
              </w:rPr>
              <w:t xml:space="preserve">, Faculty of Medicine and Pharmacy, </w:t>
            </w:r>
            <w:r w:rsidR="00E13BFC">
              <w:rPr>
                <w:rFonts w:ascii="Garamond" w:hAnsi="Garamond"/>
                <w:color w:val="1B2A33"/>
                <w:lang w:val="en-US"/>
              </w:rPr>
              <w:t>VUB</w:t>
            </w:r>
          </w:p>
          <w:p w14:paraId="7EDBA6AA" w14:textId="780FB92A" w:rsidR="00D86181" w:rsidRPr="005F5A72" w:rsidRDefault="00D86181" w:rsidP="004E57D3">
            <w:pPr>
              <w:spacing w:after="60"/>
              <w:rPr>
                <w:rFonts w:ascii="Garamond" w:hAnsi="Garamond"/>
                <w:lang w:val="en-US"/>
              </w:rPr>
            </w:pPr>
            <w:r w:rsidRPr="005F5A72">
              <w:rPr>
                <w:rFonts w:ascii="Garamond" w:hAnsi="Garamond"/>
                <w:lang w:val="en-US"/>
              </w:rPr>
              <w:t>(</w:t>
            </w:r>
            <w:hyperlink r:id="rId10" w:history="1">
              <w:r w:rsidRPr="005F5A72">
                <w:rPr>
                  <w:rStyle w:val="Hyperlink"/>
                  <w:rFonts w:ascii="Garamond" w:hAnsi="Garamond"/>
                  <w:lang w:val="en-US"/>
                </w:rPr>
                <w:t>Maaike.Fobelets@vub.be</w:t>
              </w:r>
            </w:hyperlink>
            <w:r w:rsidRPr="005F5A72">
              <w:rPr>
                <w:rFonts w:ascii="Garamond" w:hAnsi="Garamond"/>
                <w:lang w:val="en-US"/>
              </w:rPr>
              <w:t>)</w:t>
            </w:r>
            <w:r w:rsidRPr="005F5A72">
              <w:rPr>
                <w:rFonts w:ascii="Garamond" w:hAnsi="Garamond"/>
                <w:color w:val="1B2A33"/>
                <w:lang w:val="en-US"/>
              </w:rPr>
              <w:br/>
            </w:r>
            <w:r w:rsidRPr="005F5A72">
              <w:rPr>
                <w:rFonts w:ascii="Garamond" w:hAnsi="Garamond"/>
                <w:b/>
                <w:bCs/>
                <w:color w:val="1B2A33"/>
                <w:lang w:val="en-US"/>
              </w:rPr>
              <w:t>Prof. Koen Putman</w:t>
            </w:r>
            <w:r w:rsidRPr="005F5A72">
              <w:rPr>
                <w:rFonts w:ascii="Garamond" w:hAnsi="Garamond"/>
                <w:color w:val="1B2A33"/>
                <w:lang w:val="en-US"/>
              </w:rPr>
              <w:t xml:space="preserve">, Faculty of Medicine and Pharmacy, </w:t>
            </w:r>
            <w:r w:rsidR="00E13BFC">
              <w:rPr>
                <w:rFonts w:ascii="Garamond" w:hAnsi="Garamond"/>
                <w:color w:val="1B2A33"/>
                <w:lang w:val="en-US"/>
              </w:rPr>
              <w:t>VUB</w:t>
            </w:r>
            <w:r w:rsidRPr="005F5A72">
              <w:rPr>
                <w:rFonts w:ascii="Garamond" w:hAnsi="Garamond"/>
                <w:color w:val="1B2A33"/>
                <w:lang w:val="en-US"/>
              </w:rPr>
              <w:t xml:space="preserve"> </w:t>
            </w:r>
          </w:p>
          <w:p w14:paraId="00F95C88" w14:textId="4B95C603" w:rsidR="00D86181" w:rsidRPr="005F5A72" w:rsidRDefault="00D86181" w:rsidP="004E57D3">
            <w:pPr>
              <w:spacing w:after="60"/>
              <w:rPr>
                <w:rFonts w:ascii="Garamond" w:hAnsi="Garamond"/>
                <w:color w:val="1B2A33"/>
                <w:lang w:val="en-US"/>
              </w:rPr>
            </w:pPr>
            <w:r w:rsidRPr="00E13BFC">
              <w:rPr>
                <w:rFonts w:ascii="Garamond" w:hAnsi="Garamond"/>
                <w:lang w:val="en-GB"/>
              </w:rPr>
              <w:t>(</w:t>
            </w:r>
            <w:hyperlink r:id="rId11" w:history="1">
              <w:r w:rsidRPr="005F5A72">
                <w:rPr>
                  <w:rStyle w:val="Hyperlink"/>
                  <w:rFonts w:ascii="Garamond" w:hAnsi="Garamond"/>
                  <w:lang w:val="en-US"/>
                </w:rPr>
                <w:t>koen.putman@vub.be</w:t>
              </w:r>
            </w:hyperlink>
            <w:r w:rsidRPr="005F5A72">
              <w:rPr>
                <w:rFonts w:ascii="Garamond" w:hAnsi="Garamond"/>
                <w:lang w:val="en-US"/>
              </w:rPr>
              <w:t>)</w:t>
            </w:r>
          </w:p>
        </w:tc>
      </w:tr>
      <w:tr w:rsidR="00D86181" w:rsidRPr="005F5A72" w14:paraId="00F95C8C"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DCE7EB"/>
            <w:tcMar>
              <w:top w:w="60" w:type="dxa"/>
              <w:left w:w="120" w:type="dxa"/>
              <w:bottom w:w="60" w:type="dxa"/>
              <w:right w:w="120" w:type="dxa"/>
            </w:tcMar>
            <w:vAlign w:val="center"/>
          </w:tcPr>
          <w:p w14:paraId="2E363454" w14:textId="77777777" w:rsidR="00990238" w:rsidRPr="005F5A72" w:rsidRDefault="00D86181" w:rsidP="004E57D3">
            <w:pPr>
              <w:spacing w:after="60"/>
              <w:rPr>
                <w:rFonts w:ascii="Garamond" w:eastAsia="Calibri" w:hAnsi="Garamond"/>
                <w:b/>
                <w:bCs/>
                <w:color w:val="20415A"/>
              </w:rPr>
            </w:pPr>
            <w:r w:rsidRPr="005F5A72">
              <w:rPr>
                <w:rFonts w:ascii="Garamond" w:eastAsia="Calibri" w:hAnsi="Garamond"/>
                <w:b/>
                <w:bCs/>
                <w:color w:val="20415A"/>
              </w:rPr>
              <w:t xml:space="preserve">Research </w:t>
            </w:r>
            <w:proofErr w:type="spellStart"/>
            <w:r w:rsidRPr="005F5A72">
              <w:rPr>
                <w:rFonts w:ascii="Garamond" w:eastAsia="Calibri" w:hAnsi="Garamond"/>
                <w:b/>
                <w:bCs/>
                <w:color w:val="20415A"/>
              </w:rPr>
              <w:t>location</w:t>
            </w:r>
            <w:proofErr w:type="spellEnd"/>
            <w:r w:rsidRPr="005F5A72">
              <w:rPr>
                <w:rFonts w:ascii="Garamond" w:eastAsia="Calibri" w:hAnsi="Garamond"/>
                <w:b/>
                <w:bCs/>
                <w:color w:val="20415A"/>
              </w:rPr>
              <w:t xml:space="preserve"> </w:t>
            </w:r>
          </w:p>
          <w:p w14:paraId="00F95C8A" w14:textId="44092751" w:rsidR="00D86181" w:rsidRPr="005F5A72" w:rsidRDefault="00D86181" w:rsidP="004E57D3">
            <w:pPr>
              <w:spacing w:after="60"/>
              <w:rPr>
                <w:rFonts w:ascii="Garamond" w:hAnsi="Garamond"/>
              </w:rPr>
            </w:pPr>
            <w:r w:rsidRPr="005F5A72">
              <w:rPr>
                <w:rFonts w:ascii="Garamond" w:eastAsia="Calibri" w:hAnsi="Garamond"/>
                <w:b/>
                <w:bCs/>
                <w:color w:val="20415A"/>
              </w:rPr>
              <w:t>(</w:t>
            </w:r>
            <w:proofErr w:type="gramStart"/>
            <w:r w:rsidRPr="005F5A72">
              <w:rPr>
                <w:rFonts w:ascii="Garamond" w:eastAsia="Calibri" w:hAnsi="Garamond"/>
                <w:b/>
                <w:bCs/>
                <w:color w:val="20415A"/>
              </w:rPr>
              <w:t>for</w:t>
            </w:r>
            <w:proofErr w:type="gramEnd"/>
            <w:r w:rsidRPr="005F5A72">
              <w:rPr>
                <w:rFonts w:ascii="Garamond" w:eastAsia="Calibri" w:hAnsi="Garamond"/>
                <w:b/>
                <w:bCs/>
                <w:color w:val="20415A"/>
              </w:rPr>
              <w:t xml:space="preserve"> </w:t>
            </w:r>
            <w:proofErr w:type="spellStart"/>
            <w:r w:rsidRPr="005F5A72">
              <w:rPr>
                <w:rFonts w:ascii="Garamond" w:eastAsia="Calibri" w:hAnsi="Garamond"/>
                <w:b/>
                <w:bCs/>
                <w:color w:val="20415A"/>
              </w:rPr>
              <w:t>correspondence</w:t>
            </w:r>
            <w:proofErr w:type="spellEnd"/>
            <w:r w:rsidRPr="005F5A72">
              <w:rPr>
                <w:rFonts w:ascii="Garamond" w:eastAsia="Calibri" w:hAnsi="Garamond"/>
                <w:b/>
                <w:bCs/>
                <w:color w:val="20415A"/>
              </w:rPr>
              <w:t>)</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79C6F924" w14:textId="77777777" w:rsidR="00D86181" w:rsidRPr="005F5A72" w:rsidRDefault="00D86181" w:rsidP="004E57D3">
            <w:pPr>
              <w:spacing w:after="60"/>
              <w:rPr>
                <w:rFonts w:ascii="Garamond" w:hAnsi="Garamond"/>
                <w:color w:val="1B2A33"/>
                <w:lang w:val="en-US"/>
              </w:rPr>
            </w:pPr>
            <w:r w:rsidRPr="005F5A72">
              <w:rPr>
                <w:rFonts w:ascii="Garamond" w:hAnsi="Garamond"/>
                <w:color w:val="1B2A33"/>
                <w:lang w:val="en-US"/>
              </w:rPr>
              <w:t xml:space="preserve">KU Leuven Campus Bruges, Department of Rehabilitation Sciences, Musculoskeletal Research Group. </w:t>
            </w:r>
          </w:p>
          <w:p w14:paraId="00F95C8B" w14:textId="6150C78C" w:rsidR="00D86181" w:rsidRPr="005F5A72" w:rsidRDefault="00D86181" w:rsidP="004E57D3">
            <w:pPr>
              <w:spacing w:after="60"/>
              <w:rPr>
                <w:rFonts w:ascii="Garamond" w:hAnsi="Garamond"/>
                <w:lang w:val="en-US"/>
              </w:rPr>
            </w:pPr>
            <w:proofErr w:type="spellStart"/>
            <w:r w:rsidRPr="005F5A72">
              <w:rPr>
                <w:rFonts w:ascii="Garamond" w:hAnsi="Garamond"/>
                <w:color w:val="1B2A33"/>
                <w:lang w:val="en-US"/>
              </w:rPr>
              <w:t>Spoorwegstraat</w:t>
            </w:r>
            <w:proofErr w:type="spellEnd"/>
            <w:r w:rsidRPr="005F5A72">
              <w:rPr>
                <w:rFonts w:ascii="Garamond" w:hAnsi="Garamond"/>
                <w:color w:val="1B2A33"/>
                <w:lang w:val="en-US"/>
              </w:rPr>
              <w:t xml:space="preserve"> 12, 8200 Brugge (Belgium)</w:t>
            </w:r>
          </w:p>
        </w:tc>
      </w:tr>
      <w:tr w:rsidR="00D86181" w:rsidRPr="00B93FD8" w14:paraId="00F95C8F"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EAF1F3"/>
            <w:tcMar>
              <w:top w:w="60" w:type="dxa"/>
              <w:left w:w="120" w:type="dxa"/>
              <w:bottom w:w="60" w:type="dxa"/>
              <w:right w:w="120" w:type="dxa"/>
            </w:tcMar>
            <w:vAlign w:val="center"/>
          </w:tcPr>
          <w:p w14:paraId="00F95C8D" w14:textId="77777777" w:rsidR="00D86181" w:rsidRPr="005F5A72" w:rsidRDefault="00D86181" w:rsidP="004E57D3">
            <w:pPr>
              <w:spacing w:after="60"/>
              <w:rPr>
                <w:rFonts w:ascii="Garamond" w:hAnsi="Garamond"/>
              </w:rPr>
            </w:pPr>
            <w:r w:rsidRPr="005F5A72">
              <w:rPr>
                <w:rFonts w:ascii="Garamond" w:eastAsia="Calibri" w:hAnsi="Garamond"/>
                <w:b/>
                <w:bCs/>
                <w:color w:val="20415A"/>
              </w:rPr>
              <w:t xml:space="preserve">Available </w:t>
            </w:r>
            <w:proofErr w:type="spellStart"/>
            <w:r w:rsidRPr="005F5A72">
              <w:rPr>
                <w:rFonts w:ascii="Garamond" w:eastAsia="Calibri" w:hAnsi="Garamond"/>
                <w:b/>
                <w:bCs/>
                <w:color w:val="20415A"/>
              </w:rPr>
              <w:t>grant</w:t>
            </w:r>
            <w:proofErr w:type="spellEnd"/>
            <w:r w:rsidRPr="005F5A72">
              <w:rPr>
                <w:rFonts w:ascii="Garamond" w:eastAsia="Calibri" w:hAnsi="Garamond"/>
                <w:b/>
                <w:bCs/>
                <w:color w:val="20415A"/>
              </w:rPr>
              <w:t xml:space="preserve"> support</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8E" w14:textId="0224EB22" w:rsidR="00D86181" w:rsidRPr="005F5A72" w:rsidRDefault="00D86181" w:rsidP="004E57D3">
            <w:pPr>
              <w:spacing w:after="60"/>
              <w:rPr>
                <w:rFonts w:ascii="Garamond" w:hAnsi="Garamond"/>
                <w:lang w:val="en-US"/>
              </w:rPr>
            </w:pPr>
            <w:r w:rsidRPr="005F5A72">
              <w:rPr>
                <w:rFonts w:ascii="Garamond" w:hAnsi="Garamond"/>
                <w:color w:val="1B2A33"/>
                <w:lang w:val="en-US"/>
              </w:rPr>
              <w:t xml:space="preserve">FWO-TBM project </w:t>
            </w:r>
            <w:r w:rsidRPr="005F5A72">
              <w:rPr>
                <w:rFonts w:ascii="Garamond" w:hAnsi="Garamond"/>
                <w:b/>
                <w:bCs/>
                <w:color w:val="1B2A33"/>
                <w:lang w:val="en-US"/>
              </w:rPr>
              <w:t>“PARADISE”</w:t>
            </w:r>
            <w:r w:rsidRPr="005F5A72">
              <w:rPr>
                <w:rFonts w:ascii="Garamond" w:hAnsi="Garamond"/>
                <w:color w:val="1B2A33"/>
                <w:lang w:val="en-US"/>
              </w:rPr>
              <w:t xml:space="preserve"> (application no. T000226N; KU Leuven host budget €847,774.00 over 48 months).</w:t>
            </w:r>
          </w:p>
        </w:tc>
      </w:tr>
      <w:tr w:rsidR="00D86181" w:rsidRPr="00B93FD8" w14:paraId="00F95C92"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DCE7EB"/>
            <w:tcMar>
              <w:top w:w="60" w:type="dxa"/>
              <w:left w:w="120" w:type="dxa"/>
              <w:bottom w:w="60" w:type="dxa"/>
              <w:right w:w="120" w:type="dxa"/>
            </w:tcMar>
            <w:vAlign w:val="center"/>
          </w:tcPr>
          <w:p w14:paraId="00F95C90" w14:textId="77777777" w:rsidR="00D86181" w:rsidRPr="005F5A72" w:rsidRDefault="00D86181" w:rsidP="004E57D3">
            <w:pPr>
              <w:spacing w:after="60"/>
              <w:rPr>
                <w:rFonts w:ascii="Garamond" w:hAnsi="Garamond"/>
              </w:rPr>
            </w:pPr>
            <w:proofErr w:type="spellStart"/>
            <w:r w:rsidRPr="005F5A72">
              <w:rPr>
                <w:rFonts w:ascii="Garamond" w:eastAsia="Calibri" w:hAnsi="Garamond"/>
                <w:b/>
                <w:bCs/>
                <w:color w:val="20415A"/>
              </w:rPr>
              <w:t>Ethical</w:t>
            </w:r>
            <w:proofErr w:type="spellEnd"/>
            <w:r w:rsidRPr="005F5A72">
              <w:rPr>
                <w:rFonts w:ascii="Garamond" w:eastAsia="Calibri" w:hAnsi="Garamond"/>
                <w:b/>
                <w:bCs/>
                <w:color w:val="20415A"/>
              </w:rPr>
              <w:t xml:space="preserve"> </w:t>
            </w:r>
            <w:proofErr w:type="spellStart"/>
            <w:r w:rsidRPr="005F5A72">
              <w:rPr>
                <w:rFonts w:ascii="Garamond" w:eastAsia="Calibri" w:hAnsi="Garamond"/>
                <w:b/>
                <w:bCs/>
                <w:color w:val="20415A"/>
              </w:rPr>
              <w:t>Committee</w:t>
            </w:r>
            <w:proofErr w:type="spellEnd"/>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91" w14:textId="31DBB43D" w:rsidR="00D86181" w:rsidRPr="00AE3143" w:rsidRDefault="00AE3143" w:rsidP="004E57D3">
            <w:pPr>
              <w:spacing w:after="60"/>
              <w:rPr>
                <w:rFonts w:ascii="Garamond" w:hAnsi="Garamond"/>
                <w:color w:val="1B2A33"/>
                <w:lang w:val="en-GB"/>
              </w:rPr>
            </w:pPr>
            <w:r w:rsidRPr="00AE3143">
              <w:rPr>
                <w:rFonts w:ascii="Garamond" w:hAnsi="Garamond"/>
                <w:color w:val="1B2A33"/>
                <w:lang w:val="en-GB"/>
              </w:rPr>
              <w:t>EC Research UZ/KU Leuven (S71769); FAMHP multicentre trial registration (class 1 custom-made foot orthoses)</w:t>
            </w:r>
          </w:p>
        </w:tc>
      </w:tr>
      <w:tr w:rsidR="00D86181" w:rsidRPr="005F5A72" w14:paraId="00F95C95"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EAF1F3"/>
            <w:tcMar>
              <w:top w:w="60" w:type="dxa"/>
              <w:left w:w="120" w:type="dxa"/>
              <w:bottom w:w="60" w:type="dxa"/>
              <w:right w:w="120" w:type="dxa"/>
            </w:tcMar>
            <w:vAlign w:val="center"/>
          </w:tcPr>
          <w:p w14:paraId="00F95C93" w14:textId="77777777" w:rsidR="00D86181" w:rsidRPr="005F5A72" w:rsidRDefault="00D86181" w:rsidP="004E57D3">
            <w:pPr>
              <w:spacing w:after="60"/>
              <w:rPr>
                <w:rFonts w:ascii="Garamond" w:hAnsi="Garamond"/>
              </w:rPr>
            </w:pPr>
            <w:proofErr w:type="spellStart"/>
            <w:r w:rsidRPr="005F5A72">
              <w:rPr>
                <w:rFonts w:ascii="Garamond" w:eastAsia="Calibri" w:hAnsi="Garamond"/>
                <w:b/>
                <w:bCs/>
                <w:color w:val="20415A"/>
              </w:rPr>
              <w:t>Animal</w:t>
            </w:r>
            <w:proofErr w:type="spellEnd"/>
            <w:r w:rsidRPr="005F5A72">
              <w:rPr>
                <w:rFonts w:ascii="Garamond" w:eastAsia="Calibri" w:hAnsi="Garamond"/>
                <w:b/>
                <w:bCs/>
                <w:color w:val="20415A"/>
              </w:rPr>
              <w:t xml:space="preserve"> </w:t>
            </w:r>
            <w:proofErr w:type="spellStart"/>
            <w:r w:rsidRPr="005F5A72">
              <w:rPr>
                <w:rFonts w:ascii="Garamond" w:eastAsia="Calibri" w:hAnsi="Garamond"/>
                <w:b/>
                <w:bCs/>
                <w:color w:val="20415A"/>
              </w:rPr>
              <w:t>experiments</w:t>
            </w:r>
            <w:proofErr w:type="spellEnd"/>
            <w:r w:rsidRPr="005F5A72">
              <w:rPr>
                <w:rFonts w:ascii="Garamond" w:eastAsia="Calibri" w:hAnsi="Garamond"/>
                <w:b/>
                <w:bCs/>
                <w:color w:val="20415A"/>
              </w:rPr>
              <w:t>?</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94" w14:textId="77777777" w:rsidR="00D86181" w:rsidRPr="00B93FD8" w:rsidRDefault="00D86181" w:rsidP="004E57D3">
            <w:pPr>
              <w:spacing w:after="60"/>
              <w:rPr>
                <w:rFonts w:ascii="Garamond" w:hAnsi="Garamond"/>
              </w:rPr>
            </w:pPr>
            <w:r w:rsidRPr="00B93FD8">
              <w:rPr>
                <w:rFonts w:ascii="Garamond" w:hAnsi="Garamond"/>
                <w:color w:val="1B2A33"/>
              </w:rPr>
              <w:t>No</w:t>
            </w:r>
          </w:p>
        </w:tc>
      </w:tr>
      <w:tr w:rsidR="00D86181" w:rsidRPr="005F5A72" w14:paraId="00F95C98"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DCE7EB"/>
            <w:tcMar>
              <w:top w:w="60" w:type="dxa"/>
              <w:left w:w="120" w:type="dxa"/>
              <w:bottom w:w="60" w:type="dxa"/>
              <w:right w:w="120" w:type="dxa"/>
            </w:tcMar>
            <w:vAlign w:val="center"/>
          </w:tcPr>
          <w:p w14:paraId="00F95C96" w14:textId="77777777" w:rsidR="00D86181" w:rsidRPr="005F5A72" w:rsidRDefault="00D86181" w:rsidP="004E57D3">
            <w:pPr>
              <w:spacing w:after="60"/>
              <w:rPr>
                <w:rFonts w:ascii="Garamond" w:hAnsi="Garamond"/>
              </w:rPr>
            </w:pPr>
            <w:proofErr w:type="spellStart"/>
            <w:r w:rsidRPr="005F5A72">
              <w:rPr>
                <w:rFonts w:ascii="Garamond" w:eastAsia="Calibri" w:hAnsi="Garamond"/>
                <w:b/>
                <w:bCs/>
                <w:color w:val="20415A"/>
              </w:rPr>
              <w:t>Thematic</w:t>
            </w:r>
            <w:proofErr w:type="spellEnd"/>
            <w:r w:rsidRPr="005F5A72">
              <w:rPr>
                <w:rFonts w:ascii="Garamond" w:eastAsia="Calibri" w:hAnsi="Garamond"/>
                <w:b/>
                <w:bCs/>
                <w:color w:val="20415A"/>
              </w:rPr>
              <w:t xml:space="preserve"> </w:t>
            </w:r>
            <w:proofErr w:type="spellStart"/>
            <w:r w:rsidRPr="005F5A72">
              <w:rPr>
                <w:rFonts w:ascii="Garamond" w:eastAsia="Calibri" w:hAnsi="Garamond"/>
                <w:b/>
                <w:bCs/>
                <w:color w:val="20415A"/>
              </w:rPr>
              <w:t>programme</w:t>
            </w:r>
            <w:proofErr w:type="spellEnd"/>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686F8D6E" w14:textId="77777777" w:rsidR="00E13BFC" w:rsidRDefault="00D86181" w:rsidP="004E57D3">
            <w:pPr>
              <w:spacing w:after="60"/>
              <w:rPr>
                <w:rFonts w:ascii="Garamond" w:hAnsi="Garamond"/>
                <w:color w:val="1B2A33"/>
                <w:lang w:val="en-US"/>
              </w:rPr>
            </w:pPr>
            <w:r w:rsidRPr="005F5A72">
              <w:rPr>
                <w:rFonts w:ascii="Garamond" w:hAnsi="Garamond"/>
                <w:color w:val="1B2A33"/>
                <w:lang w:val="en-US"/>
              </w:rPr>
              <w:t xml:space="preserve">Doctoral </w:t>
            </w:r>
            <w:proofErr w:type="spellStart"/>
            <w:r w:rsidRPr="005F5A72">
              <w:rPr>
                <w:rFonts w:ascii="Garamond" w:hAnsi="Garamond"/>
                <w:color w:val="1B2A33"/>
                <w:lang w:val="en-US"/>
              </w:rPr>
              <w:t>Programme</w:t>
            </w:r>
            <w:proofErr w:type="spellEnd"/>
            <w:r w:rsidRPr="005F5A72">
              <w:rPr>
                <w:rFonts w:ascii="Garamond" w:hAnsi="Garamond"/>
                <w:color w:val="1B2A33"/>
                <w:lang w:val="en-US"/>
              </w:rPr>
              <w:t xml:space="preserve"> in Biomedical Sciences</w:t>
            </w:r>
            <w:r w:rsidR="00E13BFC">
              <w:rPr>
                <w:rFonts w:ascii="Garamond" w:hAnsi="Garamond"/>
                <w:color w:val="1B2A33"/>
                <w:lang w:val="en-US"/>
              </w:rPr>
              <w:t xml:space="preserve">, </w:t>
            </w:r>
          </w:p>
          <w:p w14:paraId="00F95C97" w14:textId="699DDE8C" w:rsidR="00D86181" w:rsidRPr="005F5A72" w:rsidRDefault="00D86181" w:rsidP="004E57D3">
            <w:pPr>
              <w:spacing w:after="60"/>
              <w:rPr>
                <w:rFonts w:ascii="Garamond" w:hAnsi="Garamond"/>
                <w:lang w:val="en-US"/>
              </w:rPr>
            </w:pPr>
            <w:r w:rsidRPr="005F5A72">
              <w:rPr>
                <w:rFonts w:ascii="Garamond" w:hAnsi="Garamond"/>
                <w:color w:val="1B2A33"/>
                <w:lang w:val="en-US"/>
              </w:rPr>
              <w:t>Movement and Rehabilitation Sciences</w:t>
            </w:r>
          </w:p>
        </w:tc>
      </w:tr>
      <w:tr w:rsidR="00D86181" w:rsidRPr="005F5A72" w14:paraId="00F95C9B"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EAF1F3"/>
            <w:tcMar>
              <w:top w:w="60" w:type="dxa"/>
              <w:left w:w="120" w:type="dxa"/>
              <w:bottom w:w="60" w:type="dxa"/>
              <w:right w:w="120" w:type="dxa"/>
            </w:tcMar>
            <w:vAlign w:val="center"/>
          </w:tcPr>
          <w:p w14:paraId="00F95C99" w14:textId="7082558D" w:rsidR="00D86181" w:rsidRPr="005F5A72" w:rsidRDefault="00D86181" w:rsidP="004E57D3">
            <w:pPr>
              <w:spacing w:after="60"/>
              <w:rPr>
                <w:rFonts w:ascii="Garamond" w:hAnsi="Garamond"/>
                <w:lang w:val="en-US"/>
              </w:rPr>
            </w:pPr>
            <w:r w:rsidRPr="005F5A72">
              <w:rPr>
                <w:rFonts w:ascii="Garamond" w:eastAsia="Calibri" w:hAnsi="Garamond"/>
                <w:b/>
                <w:bCs/>
                <w:color w:val="20415A"/>
                <w:lang w:val="en-US"/>
              </w:rPr>
              <w:t xml:space="preserve">Starting date </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9A" w14:textId="480D45EA" w:rsidR="00D86181" w:rsidRPr="005F5A72" w:rsidRDefault="00D86181" w:rsidP="004E57D3">
            <w:pPr>
              <w:spacing w:after="60"/>
              <w:rPr>
                <w:rFonts w:ascii="Garamond" w:hAnsi="Garamond"/>
              </w:rPr>
            </w:pPr>
            <w:r w:rsidRPr="005F5A72">
              <w:rPr>
                <w:rFonts w:ascii="Garamond" w:hAnsi="Garamond"/>
              </w:rPr>
              <w:t>03-07-2026</w:t>
            </w:r>
            <w:r w:rsidR="00D67E59">
              <w:rPr>
                <w:rFonts w:ascii="Garamond" w:hAnsi="Garamond"/>
              </w:rPr>
              <w:t xml:space="preserve"> (</w:t>
            </w:r>
            <w:proofErr w:type="spellStart"/>
            <w:r w:rsidR="00D67E59">
              <w:rPr>
                <w:rFonts w:ascii="Garamond" w:hAnsi="Garamond"/>
              </w:rPr>
              <w:t>expected</w:t>
            </w:r>
            <w:proofErr w:type="spellEnd"/>
            <w:r w:rsidR="00D67E59">
              <w:rPr>
                <w:rFonts w:ascii="Garamond" w:hAnsi="Garamond"/>
              </w:rPr>
              <w:t xml:space="preserve"> end date: 03-07-2030)</w:t>
            </w:r>
          </w:p>
        </w:tc>
      </w:tr>
      <w:tr w:rsidR="00D86181" w:rsidRPr="00B93FD8" w14:paraId="00F95C9E"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DCE7EB"/>
            <w:tcMar>
              <w:top w:w="60" w:type="dxa"/>
              <w:left w:w="120" w:type="dxa"/>
              <w:bottom w:w="60" w:type="dxa"/>
              <w:right w:w="120" w:type="dxa"/>
            </w:tcMar>
            <w:vAlign w:val="center"/>
          </w:tcPr>
          <w:p w14:paraId="00F95C9C" w14:textId="14C47C11" w:rsidR="00D86181" w:rsidRPr="005F5A72" w:rsidRDefault="00350471" w:rsidP="004E57D3">
            <w:pPr>
              <w:spacing w:after="60"/>
              <w:rPr>
                <w:rFonts w:ascii="Garamond" w:hAnsi="Garamond"/>
              </w:rPr>
            </w:pPr>
            <w:r>
              <w:rPr>
                <w:rFonts w:ascii="Garamond" w:eastAsia="Calibri" w:hAnsi="Garamond"/>
                <w:b/>
                <w:bCs/>
                <w:color w:val="20415A"/>
              </w:rPr>
              <w:t xml:space="preserve">PhD </w:t>
            </w:r>
            <w:r w:rsidR="00820787">
              <w:rPr>
                <w:rFonts w:ascii="Garamond" w:eastAsia="Calibri" w:hAnsi="Garamond"/>
                <w:b/>
                <w:bCs/>
                <w:color w:val="20415A"/>
              </w:rPr>
              <w:t>f</w:t>
            </w:r>
            <w:r>
              <w:rPr>
                <w:rFonts w:ascii="Garamond" w:eastAsia="Calibri" w:hAnsi="Garamond"/>
                <w:b/>
                <w:bCs/>
                <w:color w:val="20415A"/>
              </w:rPr>
              <w:t>ormat</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9D" w14:textId="170D817F" w:rsidR="00D86181" w:rsidRPr="00D67E59" w:rsidRDefault="00D67E59" w:rsidP="004E57D3">
            <w:pPr>
              <w:spacing w:after="60"/>
              <w:rPr>
                <w:rFonts w:ascii="Garamond" w:hAnsi="Garamond"/>
                <w:lang w:val="en-GB"/>
              </w:rPr>
            </w:pPr>
            <w:r w:rsidRPr="00D67E59">
              <w:rPr>
                <w:rFonts w:ascii="Garamond" w:hAnsi="Garamond"/>
                <w:color w:val="1B2A33"/>
                <w:lang w:val="en-GB"/>
              </w:rPr>
              <w:t>Full-time; Joint PhD (KU Leuven home institution, VUB host institution)</w:t>
            </w:r>
          </w:p>
        </w:tc>
      </w:tr>
    </w:tbl>
    <w:p w14:paraId="7822B5EE" w14:textId="2D627D96" w:rsidR="002F6DDF" w:rsidRPr="00815A84" w:rsidRDefault="005309EE" w:rsidP="004E57D3">
      <w:pPr>
        <w:pBdr>
          <w:bottom w:val="single" w:sz="6" w:space="2" w:color="2A7F8E"/>
        </w:pBdr>
        <w:spacing w:before="110" w:after="60"/>
        <w:rPr>
          <w:rFonts w:ascii="Garamond" w:hAnsi="Garamond"/>
          <w:sz w:val="28"/>
          <w:szCs w:val="28"/>
          <w:lang w:val="en-US"/>
        </w:rPr>
      </w:pPr>
      <w:r w:rsidRPr="00815A84">
        <w:rPr>
          <w:rFonts w:ascii="Garamond" w:eastAsia="Calibri" w:hAnsi="Garamond"/>
          <w:b/>
          <w:bCs/>
          <w:color w:val="20415A"/>
          <w:sz w:val="28"/>
          <w:szCs w:val="28"/>
          <w:lang w:val="en-US"/>
        </w:rPr>
        <w:t>1</w:t>
      </w:r>
      <w:proofErr w:type="gramStart"/>
      <w:r w:rsidRPr="00815A84">
        <w:rPr>
          <w:rFonts w:ascii="Garamond" w:eastAsia="Calibri" w:hAnsi="Garamond"/>
          <w:b/>
          <w:bCs/>
          <w:color w:val="20415A"/>
          <w:sz w:val="28"/>
          <w:szCs w:val="28"/>
          <w:lang w:val="en-US"/>
        </w:rPr>
        <w:t>.  Introduction</w:t>
      </w:r>
      <w:proofErr w:type="gramEnd"/>
      <w:r w:rsidRPr="00815A84">
        <w:rPr>
          <w:rFonts w:ascii="Garamond" w:eastAsia="Calibri" w:hAnsi="Garamond"/>
          <w:b/>
          <w:bCs/>
          <w:color w:val="20415A"/>
          <w:sz w:val="28"/>
          <w:szCs w:val="28"/>
          <w:lang w:val="en-US"/>
        </w:rPr>
        <w:t xml:space="preserve"> and background</w:t>
      </w:r>
    </w:p>
    <w:p w14:paraId="41B018CD" w14:textId="77777777" w:rsidR="004E57D3" w:rsidRDefault="00643AC6" w:rsidP="004E57D3">
      <w:pPr>
        <w:spacing w:after="60"/>
        <w:jc w:val="both"/>
        <w:rPr>
          <w:rFonts w:ascii="Garamond" w:hAnsi="Garamond"/>
          <w:lang w:val="en-US"/>
        </w:rPr>
      </w:pPr>
      <w:r w:rsidRPr="005F5A72">
        <w:rPr>
          <w:rFonts w:ascii="Garamond" w:hAnsi="Garamond"/>
          <w:lang w:val="en-US"/>
        </w:rPr>
        <w:t>Diabetes constitutes a growing global health burden;</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{"citationID":"9owaccPK","properties":{"unsorted":false,"formattedCitation":"\\super 1\\nosupersub{}","plainCitation":"1","noteIndex":0},"citationItems":[{"id":60,"uris":["http://zotero.org/users/19619518/items/VKMWXAKI"],"itemData":{"id":60,"type":"article-journal","abstract":"Diabetic foot ulcers (DFUs) are a common complication of diabetes, significantly impairing patients' quality of life (QoL) and imposing a heavy economic burden. Previous reviews on the prevention of DFUs and their recurrence have indicated that educational interventions alone cannot definitively reduce the incidence of new DFUs or lower limb amputation rates and that non-pharmacological therapies using medical devices face challenges such as cost, the need for technical training, and infrastructure development. This study systematically mapped the existing literature on non-pharmacological therapies, excluding medical devices and medications. Specifically, interventions involving machinery were excluded. The aim was to identify strategies that prevent delayed progression and recurrence of diabetic foot ulcers (DFU) in patients with type 2 diabetes. The review focused on interventions with high feasibility, cost-effectiveness, and sustainability, such as patient education, behavior modification, monitoring, and multidisciplinary collaboration. These approaches are expected to contribute to the development of comprehensive and practical strategies that address current knowledge gaps, improve patient outcomes, reduce healthcare costs, and enhance the quality of life for individuals with diabetes. An exploratory review was conducted using a combination of controlled vocabulary and free text terms related to \"type 2 diabetes,\" \"ulcer,\" \"intervention,\" and \"prevention.\" Data were collected from PubMed, the Cochrane Central Register of Controlled Trials, and Ichushi-Web. Eleven studies were evaluated. The intervention methods used were face-to-face methods by healthcare professionals and methods utilizing information and communication technology (ICT). The outcome measures of the interventions varied, including changes in patients' cognitive behavior, assessment of quality of life, examination of the condition of the lower limbs, such as ulcer healing and skin condition of the feet, and evaluation of diabetes management. This review emphasizes that non-pharmacological therapies, particularly those incorporating multidisciplinary educational interventions involving nurses, may be effective in preventing diabetic foot ulcers (DFUs) and preventing their recurrence. Future research should aim to establish standardized outcome measures and evidence-based guidelines for integrating face-to-face and ICT-based multidisciplinary educational interventions.","container-title":"Cureus","DOI":"10.7759/cureus.100710","ISSN":"2168-8184","issue":"1","journalAbbreviation":"Cureus","language":"eng","page":"e100710","PMID":"41635327","PMCID":"PMC12863961","source":"PubMed","title":"Non-pharmacological Interventions for the Prevention and Progression of Diabetic Foot Ulcers in Individuals With Type 2 Diabetes Mellitus: A Scoping Review","title-short":"Non-pharmacological Interventions for the Prevention and Progression of Diabetic Foot Ulcers in Individuals With Type 2 Diabetes Mellitus","volume":"18","author":[{"family":"Kamogawa","given":"Megumi"},{"family":"Kajiwara","given":"Kohei"},{"family":"Sakuramoto","given":"Hideaki"},{"family":"Yamamoto","given":"Koji"}],"issued":{"date-parts":[["2026",1]]}}}],"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1</w:t>
      </w:r>
      <w:r w:rsidR="00AB331B" w:rsidRPr="005F5A72">
        <w:rPr>
          <w:rFonts w:ascii="Garamond" w:hAnsi="Garamond"/>
          <w:lang w:val="en-US"/>
        </w:rPr>
        <w:fldChar w:fldCharType="end"/>
      </w:r>
      <w:r w:rsidRPr="005F5A72">
        <w:rPr>
          <w:rFonts w:ascii="Garamond" w:hAnsi="Garamond"/>
          <w:lang w:val="en-US"/>
        </w:rPr>
        <w:t xml:space="preserve"> in Belgium, diagnosed prevalence reached 7.6% in 2023 and continues to rise with an ageing population.</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{"citationID":"QZsvqEtg","properties":{"unsorted":false,"formattedCitation":"\\super 2\\nosupersub{}","plainCitation":"2","noteIndex":0},"citationItems":[{"id":50,"uris":["http://zotero.org/users/19619518/items/K3HEZTLV"],"itemData":{"id":50,"type":"webpage","abstract":"For a healthy Belgium: indicators of health and care","container-title":"For a Healthy Belgium","language":"en-gb","title":"Diabetes","URL":"https://www.healthybelgium.be/en/health-status/non-communicable-diseases/diabetes","author":[{"family":"admin-sciensano","given":""}],"accessed":{"date-parts":[["2026",6,4]]},"issued":{"date-parts":[["2025",9,30]]}}}],"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2</w:t>
      </w:r>
      <w:r w:rsidR="00AB331B" w:rsidRPr="005F5A72">
        <w:rPr>
          <w:rFonts w:ascii="Garamond" w:hAnsi="Garamond"/>
          <w:lang w:val="en-US"/>
        </w:rPr>
        <w:fldChar w:fldCharType="end"/>
      </w:r>
      <w:r w:rsidRPr="005F5A72">
        <w:rPr>
          <w:rFonts w:ascii="Garamond" w:hAnsi="Garamond"/>
          <w:lang w:val="en-US"/>
        </w:rPr>
        <w:t xml:space="preserve"> Among people with diabetes, recurrent diabetic foot ulcers (DFUs) remain a leading cause of morbidity, reduced quality of life, and healthcare expenditure: approximately 40% of healed ulcers recur within one year, </w:t>
      </w:r>
      <w:r w:rsidR="00132872" w:rsidRPr="00132872">
        <w:rPr>
          <w:rFonts w:ascii="Garamond" w:hAnsi="Garamond"/>
          <w:lang w:val="en-US"/>
        </w:rPr>
        <w:t>making recurrence prevention a central priority in diabetic-foot management</w:t>
      </w:r>
      <w:r w:rsidRPr="005F5A72">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{"citationID":"bQVpjHK6","properties":{"unsorted":false,"formattedCitation":"\\super 3,4\\nosupersub{}","plainCitation":"3,4","noteIndex":0},"citationItems":[{"id":59,"uris":["http://zotero.org/users/19619518/items/AA95SBQV"],"itemData":{"id":59,"type":"article-journal","abstract":"OBJECTIVE\n              Recurrence of plantar foot ulcers is a common and major problem in diabetes but not well understood. Foot biomechanics and patient behavior may be important. The aim was to identify risk factors for ulcer recurrence and to establish targets for ulcer prevention.\n            \n            \n              RESEARCH DESIGN AND METHODS\n              As part of a footwear trial, 171 neuropathic diabetic patients with a recently healed plantar foot ulcer and custom-made footwear were followed for 18 months or until ulceration. Demographic data, disease-related parameters, presence of minor lesions, barefoot and in-shoe plantar peak pressures, footwear adherence, and daily stride count were entered in a multivariate multilevel logistic regression model of plantar foot ulcer recurrence.\n            \n            \n              RESULTS\n              A total of 71 patients had a recurrent ulcer. Significant independent predictors were presence of minor lesions (odds ratio 9.06 [95% CI 2.98–27.57]), day-to-day variation in stride count (0.93 [0.89–0.99]), and cumulative duration of past foot ulcers (1.03 [1.00–1.06]). Significant independent predictors for those 41 recurrences suggested to be the result of unrecognized repetitive trauma were presence of minor lesions (10.95 [5.01–23.96]), in-shoe peak pressure &amp;lt;200 kPa with footwear adherence &amp;gt;80% (0.43 [0.20–0.94]), barefoot peak pressure (1.11 [1.00–1.22]), and day-to-day variation in stride count (0.91 [0.86–0.96]).\n            \n            \n              CONCLUSIONS\n              The presence of a minor lesion was clearly the strongest predictor, while recommended use of adequately offloading footwear was a strong protector against ulcer recurrence from unrecognized repetitive trauma. These outcomes define clear targets for diabetic foot screening and ulcer prevention.","container-title":"Diabetes Care","DOI":"10.2337/dc13-2470","ISSN":"0149-5992, 1935-5548","issue":"6","language":"en","page":"1697-1705","source":"DOI.org (Crossref)","title":"Risk Factors for Plantar Foot Ulcer Recurrence in Neuropathic Diabetic Patients","volume":"37","author":[{"family":"Waaijman","given":"Roelof"},{"family":"De Haart","given":"Mirjam"},{"family":"Arts","given":"Mark L.J."},{"family":"Wever","given":"Daniel"},{"family":"Verlouw","given":"Anke J.W.E."},{"family":"Nollet","given":"Frans"},{"family":"Bus","given":"Sicco A."}],"issued":{"date-parts":[["2014",6,1]]}}},{"id":58,"uris":["http://zotero.org/users/19619518/items/BNUN34AS"],"itemData":{"id":58,"type":"article-journal","abstract":"Background: Diabetic foot disease is a public health problem. The challenges of its management lie in the complexity of wound healing and, in particular, the high rate of lesion recurrence. Objectives: The primary objective of the study was to evaluate whether optimized post-healing follow-up by a multidisciplinary team can reduce the recurrence rate of foot ulcers in people living with diabetes. The secondary objectives were to assess patient needs in terms of hospitalization for recurrence, the number of amputations, pedicure care, and the use of adapted footwear. Participants: The study included 129 patients with diabetes presenting a healed foot ulcer. A total of 38 patients underwent an annual post-healing follow-up visit with a multidisciplinary team (optimized follow-up), while 91 had a visit every 2 years (minimum follow-up). Results: Of the 38 patients with optimal follow-up, 8 presented a wound recurrence (21.1%) compared with 38 out of 91 patients (41.8%) receiving minimum follow-up. The recurrence rate decreased significantly between the two groups (p &lt; 0.05). The use of adapted shoes was also significantly better in the group with optimized follow-up (p = 0.02). Conclusions: Regular post-healing follow-up with a multidisciplinary team seems to be a contributing factor to reducing the recurrence of diabetic foot ulcers among people living with diabetes.","container-title":"Journal of Clinical Medicine","DOI":"10.3390/jcm14144975","ISSN":"2077-0383","issue":"14","journalAbbreviation":"JCM","language":"en","page":"4975","source":"DOI.org (Crossref)","title":"The Post-Healing Follow-Up of Diabetic Foot Ulcers by a Multidisciplinary Team to Reduce Their Recurrence: An Observational Retrospective Study","title-short":"The Post-Healing Follow-Up of Diabetic Foot Ulcers by a Multidisciplinary Team to Reduce Their Recurrence","volume":"14","author":[{"family":"Bouly","given":"Marie"},{"family":"Laborne","given":"Francois-Xavier"},{"family":"Tourte","given":"Caroline"},{"family":"Henry","given":"Elodie"},{"family":"Penfornis","given":"Alfred"},{"family":"Dardari","given":"Dured"}],"issued":{"date-parts":[["2025",7,14]]}}}],"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3,4</w:t>
      </w:r>
      <w:r w:rsidR="00AB331B" w:rsidRPr="005F5A72">
        <w:rPr>
          <w:rFonts w:ascii="Garamond" w:hAnsi="Garamond"/>
          <w:lang w:val="en-US"/>
        </w:rPr>
        <w:fldChar w:fldCharType="end"/>
      </w:r>
    </w:p>
    <w:p w14:paraId="504041CC" w14:textId="2F85F90C" w:rsidR="004E57D3" w:rsidRDefault="00F0277A" w:rsidP="004E57D3">
      <w:pPr>
        <w:spacing w:after="60"/>
        <w:jc w:val="both"/>
        <w:rPr>
          <w:rFonts w:ascii="Garamond" w:hAnsi="Garamond"/>
          <w:lang w:val="en-US"/>
        </w:rPr>
      </w:pPr>
      <w:r w:rsidRPr="00F0277A">
        <w:rPr>
          <w:rFonts w:ascii="Garamond" w:hAnsi="Garamond"/>
          <w:lang w:val="en-US"/>
        </w:rPr>
        <w:t xml:space="preserve">In Belgium, high-risk patients are managed within multidisciplinary Diabetic Foot Clinics (DFCs) </w:t>
      </w:r>
      <w:proofErr w:type="spellStart"/>
      <w:r w:rsidRPr="00F0277A">
        <w:rPr>
          <w:rFonts w:ascii="Garamond" w:hAnsi="Garamond"/>
          <w:lang w:val="en-US"/>
        </w:rPr>
        <w:t>recognised</w:t>
      </w:r>
      <w:proofErr w:type="spellEnd"/>
      <w:r w:rsidRPr="00F0277A">
        <w:rPr>
          <w:rFonts w:ascii="Garamond" w:hAnsi="Garamond"/>
          <w:lang w:val="en-US"/>
        </w:rPr>
        <w:t xml:space="preserve"> by the national health insurer (RIZIV–INAMI). Although this model provides </w:t>
      </w:r>
      <w:proofErr w:type="spellStart"/>
      <w:r w:rsidRPr="00F0277A">
        <w:rPr>
          <w:rFonts w:ascii="Garamond" w:hAnsi="Garamond"/>
          <w:lang w:val="en-US"/>
        </w:rPr>
        <w:t>specialised</w:t>
      </w:r>
      <w:proofErr w:type="spellEnd"/>
      <w:r w:rsidRPr="00F0277A">
        <w:rPr>
          <w:rFonts w:ascii="Garamond" w:hAnsi="Garamond"/>
          <w:lang w:val="en-US"/>
        </w:rPr>
        <w:t xml:space="preserve"> care, a persistent gap remains between evidence-based prevention and routine practice: pressure-</w:t>
      </w:r>
      <w:proofErr w:type="spellStart"/>
      <w:r w:rsidRPr="00F0277A">
        <w:rPr>
          <w:rFonts w:ascii="Garamond" w:hAnsi="Garamond"/>
          <w:lang w:val="en-US"/>
        </w:rPr>
        <w:t>optimised</w:t>
      </w:r>
      <w:proofErr w:type="spellEnd"/>
      <w:r w:rsidRPr="00F0277A">
        <w:rPr>
          <w:rFonts w:ascii="Garamond" w:hAnsi="Garamond"/>
          <w:lang w:val="en-US"/>
        </w:rPr>
        <w:t xml:space="preserve"> therapeutic footwear and objective adherence monitoring have demonstrated value separately, but are not systematically integrated into Belgian diabetic-foot pathways.</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{"citationID":"W0QB53aM","properties":{"unsorted":false,"formattedCitation":"\\super 5\\nosupersub{}","plainCitation":"5","noteIndex":0},"citationItems":[{"id":48,"uris":["http://zotero.org/users/19619518/items/HQRWT4X4"],"itemData":{"id":48,"type":"article-journal","abstract":"OBJECTIVE\n              Custom-made footwear is the treatment of choice to prevent foot ulcer recurrence in diabetes. This footwear primarily aims to offload plantar regions at high ulcer risk. However, ulcer recurrence rates are high. We assessed the effect of offloading-improved custom-made footwear and the role of footwear adherence on plantar foot ulcer recurrence.\n            \n            \n              RESEARCH DESIGN AND METHODS\n              We randomly assigned 171 neuropathic diabetic patients with a recently healed plantar foot ulcer to custom-made footwear with improved and subsequently preserved offloading (</w:instrText>
      </w:r>
      <w:r w:rsidR="0085599B">
        <w:rPr>
          <w:rFonts w:ascii="Cambria Math" w:hAnsi="Cambria Math" w:cs="Cambria Math"/>
          <w:lang w:val="en-US"/>
        </w:rPr>
        <w:instrText>∼</w:instrText>
      </w:r>
      <w:r w:rsidR="0085599B">
        <w:rPr>
          <w:rFonts w:ascii="Garamond" w:hAnsi="Garamond"/>
          <w:lang w:val="en-US"/>
        </w:rPr>
        <w:instrText xml:space="preserve">20% peak pressure relief by modifying the footwear) or to usual care (i.e., nonimproved custom-made footwear). Primary outcome was plantar foot ulcer recurrence in 18 months. Secondary outcome was ulcer recurrence in patients with an objectively measured adherence of </w:instrText>
      </w:r>
      <w:r w:rsidR="0085599B">
        <w:rPr>
          <w:rFonts w:ascii="Garamond" w:hAnsi="Garamond" w:cs="Garamond"/>
          <w:lang w:val="en-US"/>
        </w:rPr>
        <w:instrText>≥</w:instrText>
      </w:r>
      <w:r w:rsidR="0085599B">
        <w:rPr>
          <w:rFonts w:ascii="Garamond" w:hAnsi="Garamond"/>
          <w:lang w:val="en-US"/>
        </w:rPr>
        <w:instrText xml:space="preserve">80% of steps taken.\n            \n            \n              RESULTS\n              On the basis of intention-to-treat, 33 of 85 patients (38.8%) with improved footwear and 38 of 86 patients (44.2%) with usual care had a recurrent ulcer (relative risk −11%, odds ratio 0.80 [95% CI 0.44–1.47], P = 0.48). Ulcer-free survival curves were not significantly different between groups (P = 0.40). In the 79 patients (46% of total group) with high adherence, 9 of 35 (25.7%) with improved footwear and 21 of 44 (47.8%) with usual care had a recurrent ulcer (relative risk −46%, odds ratio 0.38 [0.15–0.99], P = 0.045).\n            \n            \n              CONCLUSIONS\n              Offloading-improved custom-made footwear does not significantly reduce the incidence of plantar foot ulcer recurrence in diabetes compared with custom-made footwear that does not undergo such improvement, unless it is worn as recommended.","container-title":"Diabetes Care","DOI":"10.2337/dc13-0996","ISSN":"0149-5992, 1935-5548","issue":"12","language":"en","page":"4109-4116","source":"DOI.org (Crossref)","title":"Effect of Custom-Made Footwear on Foot Ulcer Recurrence in Diabetes","volume":"36","author":[{"family":"Bus","given":"Sicco A."},{"family":"Waaijman","given":"Roelof"},{"family":"Arts","given":"Mark"},{"family":"De Haart","given":"Mirjam"},{"family":"Busch-Westbroek","given":"Tessa"},{"family":"Van Baal","given":"Jeff"},{"family":"Nollet","given":"Frans"}],"issued":{"date-parts":[["2013",12,1]]}}}],"schema":"https://github.com/citation-style-language/schema/raw/master/csl-citation.json"}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5</w:t>
      </w:r>
      <w:r w:rsidR="00AB331B" w:rsidRPr="005F5A72">
        <w:rPr>
          <w:rFonts w:ascii="Garamond" w:hAnsi="Garamond"/>
          <w:lang w:val="en-US"/>
        </w:rPr>
        <w:fldChar w:fldCharType="end"/>
      </w:r>
    </w:p>
    <w:p w14:paraId="2649D751" w14:textId="77777777" w:rsidR="0046322F" w:rsidRDefault="00BC530B" w:rsidP="004E57D3">
      <w:pPr>
        <w:spacing w:after="60"/>
        <w:jc w:val="both"/>
        <w:rPr>
          <w:rFonts w:ascii="Garamond" w:hAnsi="Garamond"/>
          <w:lang w:val="en-US"/>
        </w:rPr>
      </w:pPr>
      <w:r w:rsidRPr="00BC530B">
        <w:rPr>
          <w:rFonts w:ascii="Garamond" w:hAnsi="Garamond"/>
          <w:lang w:val="en-GB"/>
        </w:rPr>
        <w:t>Adherence remains a major barrier: objective monitoring shows that patients spend approximately 29% of their steps outside prescribed footwear, while only a minority achieve the &gt;80% weight-bearing threshold associated with improved outcomes</w:t>
      </w:r>
      <w:r w:rsidR="008B340F" w:rsidRPr="00BC530B">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{"citationID":"nPBM9hoA","properties":{"unsorted":false,"formattedCitation":"\\super 6\\nosupersub{}","plainCitation":"6","noteIndex":0},"citationItems":[{"id":16,"uris":["http://zotero.org/users/19619518/items/PZIVAKCP"],"itemData":{"id":16,"type":"article-journal","abstract":"OBJECTIVE\n              Prescription custom-made footwear can only be effective in preventing diabetic foot ulcers if worn by the patient. Particularly, the high prevalence of recurrent foot ulcers focuses the attention on adherence, for which objective data are nonexisting. We objectively assessed adherence in patients with high risk of ulcer recurrence and evaluated what determines adherence.\n            \n            \n              RESEARCH DESIGN AND METHODS\n              In 107 patients with diabetes, neuropathy, a recently healed plantar foot ulcer, and custom-made footwear, footwear use was measured during 7 consecutive days using a shoe-worn, temperature-based monitor. Daily step count was measured simultaneously using an ankle-worn activity monitor. Patients logged time away from home. Adherence was calculated as the percentage of steps that prescription footwear was worn. Determinants of adherence were evaluated in multivariate linear regression analysis.\n            \n            \n              RESULTS\n              Mean ± SD adherence was 71 ± 25%. Adherence at home was 61 ± 32%, over 3,959 ± 2,594 steps, and away from home 87 ± 26%, over 2,604 ± 2,507 steps. In 35 patients with low adherence (&amp;lt;60%), adherence at home was 28 ± 24%. Lower BMI, more severe foot deformity, and more appealing footwear were significantly associated with higher adherence.\n            \n            \n              CONCLUSIONS\n              The results show that adherence to wearing custom-made footwear is insufficient, particularly at home where patients exhibit their largest walking activity. This low adherence is a major threat for reulceration. These objective findings provide directions for improvement in adherence, which could include prescribing specific off-loading footwear for indoors, and they set a reference for future comparative research on footwear adherence in diabetes.","container-title":"Diabetes Care","DOI":"10.2337/dc12-1330","ISSN":"0149-5992, 1935-5548","issue":"6","language":"en","page":"1613-1618","source":"DOI.org (Crossref)","title":"Adherence to Wearing Prescription Custom-Made Footwear in Patients With Diabetes at High Risk for Plantar Foot Ulceration","volume":"36","author":[{"family":"Waaijman","given":"Roelof"},{"family":"Keukenkamp","given":"Renske"},{"family":"De Haart","given":"Mirjam"},{"family":"Polomski","given":"Wojtek P."},{"family":"Nollet","given":"Frans"},{"family":"Bus","given":"Sicco A."}],"issued":{"date-parts":[["2013",6,1]]}}}],"schema":"https://github.com/citation-style-language/schema/raw/master/csl-citation.json"}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6</w:t>
      </w:r>
      <w:r w:rsidR="00AB331B" w:rsidRPr="005F5A72">
        <w:rPr>
          <w:rFonts w:ascii="Garamond" w:hAnsi="Garamond"/>
          <w:lang w:val="en-US"/>
        </w:rPr>
        <w:fldChar w:fldCharType="end"/>
      </w:r>
      <w:r w:rsidR="008B340F" w:rsidRPr="005F5A72">
        <w:rPr>
          <w:rFonts w:ascii="Garamond" w:hAnsi="Garamond"/>
          <w:lang w:val="en-US"/>
        </w:rPr>
        <w:t xml:space="preserve"> Existing education strategies</w:t>
      </w:r>
      <w:r w:rsidR="00734D8C" w:rsidRPr="005F5A72">
        <w:rPr>
          <w:rFonts w:ascii="Garamond" w:hAnsi="Garamond"/>
          <w:lang w:val="en-US"/>
        </w:rPr>
        <w:t xml:space="preserve"> </w:t>
      </w:r>
      <w:proofErr w:type="spellStart"/>
      <w:r w:rsidR="008B340F" w:rsidRPr="005F5A72">
        <w:rPr>
          <w:rFonts w:ascii="Garamond" w:hAnsi="Garamond"/>
          <w:lang w:val="en-US"/>
        </w:rPr>
        <w:t>prioritise</w:t>
      </w:r>
      <w:proofErr w:type="spellEnd"/>
      <w:r w:rsidR="008B340F" w:rsidRPr="005F5A72">
        <w:rPr>
          <w:rFonts w:ascii="Garamond" w:hAnsi="Garamond"/>
          <w:lang w:val="en-US"/>
        </w:rPr>
        <w:t xml:space="preserve"> knowledge transfer over sustained </w:t>
      </w:r>
      <w:proofErr w:type="spellStart"/>
      <w:r w:rsidR="008B340F" w:rsidRPr="005F5A72">
        <w:rPr>
          <w:rFonts w:ascii="Garamond" w:hAnsi="Garamond"/>
          <w:lang w:val="en-US"/>
        </w:rPr>
        <w:t>behavioural</w:t>
      </w:r>
      <w:proofErr w:type="spellEnd"/>
      <w:r w:rsidR="008B340F" w:rsidRPr="005F5A72">
        <w:rPr>
          <w:rFonts w:ascii="Garamond" w:hAnsi="Garamond"/>
          <w:lang w:val="en-US"/>
        </w:rPr>
        <w:t xml:space="preserve"> change, and objective adherence data are seldom fed back into </w:t>
      </w:r>
      <w:proofErr w:type="spellStart"/>
      <w:r w:rsidR="008B340F" w:rsidRPr="005F5A72">
        <w:rPr>
          <w:rFonts w:ascii="Garamond" w:hAnsi="Garamond"/>
          <w:lang w:val="en-US"/>
        </w:rPr>
        <w:t>personalised</w:t>
      </w:r>
      <w:proofErr w:type="spellEnd"/>
      <w:r w:rsidR="008B340F" w:rsidRPr="005F5A72">
        <w:rPr>
          <w:rFonts w:ascii="Garamond" w:hAnsi="Garamond"/>
          <w:lang w:val="en-US"/>
        </w:rPr>
        <w:t xml:space="preserve"> or clinical decision-making.</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{"citationID":"b21m0kgR","properties":{"unsorted":false,"formattedCitation":"\\super 7\\nosupersub{}","plainCitation":"7","noteIndex":0},"citationItems":[{"id":56,"uris":["http://zotero.org/users/19619518/items/6DZPFUHJ"],"itemData":{"id":56,"type":"article-journal","abstract":"Abstract\n            \n              Background\n              Orthopaedic footwear can only be effective in preventing diabetic foot ulcers if worn by the patient. Robust data on long</w:instrText>
      </w:r>
      <w:r w:rsidR="0085599B">
        <w:rPr>
          <w:rFonts w:ascii="Cambria Math" w:hAnsi="Cambria Math" w:cs="Cambria Math"/>
          <w:lang w:val="en-US"/>
        </w:rPr>
        <w:instrText>‐</w:instrText>
      </w:r>
      <w:r w:rsidR="0085599B">
        <w:rPr>
          <w:rFonts w:ascii="Garamond" w:hAnsi="Garamond"/>
          <w:lang w:val="en-US"/>
        </w:rPr>
        <w:instrText>term wearing time of orthopaedic footwear are not available, and needed to gain more insights into wearing patterns and associated factors (i.e. participants' demographic, disease</w:instrText>
      </w:r>
      <w:r w:rsidR="0085599B">
        <w:rPr>
          <w:rFonts w:ascii="Cambria Math" w:hAnsi="Cambria Math" w:cs="Cambria Math"/>
          <w:lang w:val="en-US"/>
        </w:rPr>
        <w:instrText>‐</w:instrText>
      </w:r>
      <w:r w:rsidR="0085599B">
        <w:rPr>
          <w:rFonts w:ascii="Garamond" w:hAnsi="Garamond"/>
          <w:lang w:val="en-US"/>
        </w:rPr>
        <w:instrText>related characteristics, and footwear usability). We aimed to objectively assess long</w:instrText>
      </w:r>
      <w:r w:rsidR="0085599B">
        <w:rPr>
          <w:rFonts w:ascii="Cambria Math" w:hAnsi="Cambria Math" w:cs="Cambria Math"/>
          <w:lang w:val="en-US"/>
        </w:rPr>
        <w:instrText>‐</w:instrText>
      </w:r>
      <w:r w:rsidR="0085599B">
        <w:rPr>
          <w:rFonts w:ascii="Garamond" w:hAnsi="Garamond"/>
          <w:lang w:val="en-US"/>
        </w:rPr>
        <w:instrText>term wearing patterns and identify factors associated with wearing orthopaedic footwear in people with diabetes at moderate</w:instrText>
      </w:r>
      <w:r w:rsidR="0085599B">
        <w:rPr>
          <w:rFonts w:ascii="Cambria Math" w:hAnsi="Cambria Math" w:cs="Cambria Math"/>
          <w:lang w:val="en-US"/>
        </w:rPr>
        <w:instrText>‐</w:instrText>
      </w:r>
      <w:r w:rsidR="0085599B">
        <w:rPr>
          <w:rFonts w:ascii="Garamond" w:hAnsi="Garamond"/>
          <w:lang w:val="en-US"/>
        </w:rPr>
        <w:instrText>to</w:instrText>
      </w:r>
      <w:r w:rsidR="0085599B">
        <w:rPr>
          <w:rFonts w:ascii="Cambria Math" w:hAnsi="Cambria Math" w:cs="Cambria Math"/>
          <w:lang w:val="en-US"/>
        </w:rPr>
        <w:instrText>‐</w:instrText>
      </w:r>
      <w:r w:rsidR="0085599B">
        <w:rPr>
          <w:rFonts w:ascii="Garamond" w:hAnsi="Garamond"/>
          <w:lang w:val="en-US"/>
        </w:rPr>
        <w:instrText>high risk of ulceration.\n            \n            \n              Methods\n              People diagnosed with diabetes mellitus type 1 and 2 with loss of protective sensation and/or peripheral artery disease and prescribed with orthopaedic footwear were included and followed for 12</w:instrText>
      </w:r>
      <w:r w:rsidR="0085599B">
        <w:rPr>
          <w:rFonts w:ascii="Garamond" w:hAnsi="Garamond" w:cs="Garamond"/>
          <w:lang w:val="en-US"/>
        </w:rPr>
        <w:instrText> </w:instrText>
      </w:r>
      <w:r w:rsidR="0085599B">
        <w:rPr>
          <w:rFonts w:ascii="Garamond" w:hAnsi="Garamond"/>
          <w:lang w:val="en-US"/>
        </w:rPr>
        <w:instrText>months. The primary outcome was mean daily wearing time, continuously measured using a temperature sensor inside the footwear (Orthotimer®). Adherence to wearing orthopaedic footwear was calculated as percentage of wearing time of a total assumed 16 h out</w:instrText>
      </w:r>
      <w:r w:rsidR="0085599B">
        <w:rPr>
          <w:rFonts w:ascii="Cambria Math" w:hAnsi="Cambria Math" w:cs="Cambria Math"/>
          <w:lang w:val="en-US"/>
        </w:rPr>
        <w:instrText>‐</w:instrText>
      </w:r>
      <w:r w:rsidR="0085599B">
        <w:rPr>
          <w:rFonts w:ascii="Garamond" w:hAnsi="Garamond"/>
          <w:lang w:val="en-US"/>
        </w:rPr>
        <w:instrText>of</w:instrText>
      </w:r>
      <w:r w:rsidR="0085599B">
        <w:rPr>
          <w:rFonts w:ascii="Cambria Math" w:hAnsi="Cambria Math" w:cs="Cambria Math"/>
          <w:lang w:val="en-US"/>
        </w:rPr>
        <w:instrText>‐</w:instrText>
      </w:r>
      <w:r w:rsidR="0085599B">
        <w:rPr>
          <w:rFonts w:ascii="Garamond" w:hAnsi="Garamond"/>
          <w:lang w:val="en-US"/>
        </w:rPr>
        <w:instrText>bed daytime, where adherence</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60% was a pre</w:instrText>
      </w:r>
      <w:r w:rsidR="0085599B">
        <w:rPr>
          <w:rFonts w:ascii="Cambria Math" w:hAnsi="Cambria Math" w:cs="Cambria Math"/>
          <w:lang w:val="en-US"/>
        </w:rPr>
        <w:instrText>‐</w:instrText>
      </w:r>
      <w:r w:rsidR="0085599B">
        <w:rPr>
          <w:rFonts w:ascii="Garamond" w:hAnsi="Garamond"/>
          <w:lang w:val="en-US"/>
        </w:rPr>
        <w:instrText>determined non</w:instrText>
      </w:r>
      <w:r w:rsidR="0085599B">
        <w:rPr>
          <w:rFonts w:ascii="Cambria Math" w:hAnsi="Cambria Math" w:cs="Cambria Math"/>
          <w:lang w:val="en-US"/>
        </w:rPr>
        <w:instrText>‐</w:instrText>
      </w:r>
      <w:r w:rsidR="0085599B">
        <w:rPr>
          <w:rFonts w:ascii="Garamond" w:hAnsi="Garamond"/>
          <w:lang w:val="en-US"/>
        </w:rPr>
        <w:instrText>adherent threshold. Wearing time patterns were assessed by calculating participants' wearing (in)consistency. One</w:instrText>
      </w:r>
      <w:r w:rsidR="0085599B">
        <w:rPr>
          <w:rFonts w:ascii="Cambria Math" w:hAnsi="Cambria Math" w:cs="Cambria Math"/>
          <w:lang w:val="en-US"/>
        </w:rPr>
        <w:instrText>‐</w:instrText>
      </w:r>
      <w:r w:rsidR="0085599B">
        <w:rPr>
          <w:rFonts w:ascii="Garamond" w:hAnsi="Garamond"/>
          <w:lang w:val="en-US"/>
        </w:rPr>
        <w:instrText xml:space="preserve">way analyses of variance tested for wearing time differences between subgroups, weekdays, and weekend days. Factors potentially associated with wearing time were collected by questionnaires and medical files. Univariately associated factors were included in multivariate linear regression analysis.\n            \n            \n              Results\n              \n                Sixty one participants were included (mean (SD) age: 68.0 (7.4) years; females:\n                n\n                </w:instrText>
      </w:r>
      <w:r w:rsidR="0085599B">
        <w:rPr>
          <w:lang w:val="en-US"/>
        </w:rPr>
        <w:instrText> </w:instrText>
      </w:r>
      <w:r w:rsidR="0085599B">
        <w:rPr>
          <w:rFonts w:ascii="Garamond" w:hAnsi="Garamond"/>
          <w:lang w:val="en-US"/>
        </w:rPr>
        <w:instrText>=</w:instrText>
      </w:r>
      <w:r w:rsidR="0085599B">
        <w:rPr>
          <w:lang w:val="en-US"/>
        </w:rPr>
        <w:instrText> </w:instrText>
      </w:r>
      <w:r w:rsidR="0085599B">
        <w:rPr>
          <w:rFonts w:ascii="Garamond" w:hAnsi="Garamond"/>
          <w:lang w:val="en-US"/>
        </w:rPr>
        <w:instrText xml:space="preserve">17; type 2 diabetes mellitus:\n                n\n                </w:instrText>
      </w:r>
      <w:r w:rsidR="0085599B">
        <w:rPr>
          <w:lang w:val="en-US"/>
        </w:rPr>
        <w:instrText> </w:instrText>
      </w:r>
      <w:r w:rsidR="0085599B">
        <w:rPr>
          <w:rFonts w:ascii="Garamond" w:hAnsi="Garamond"/>
          <w:lang w:val="en-US"/>
        </w:rPr>
        <w:instrText>=</w:instrText>
      </w:r>
      <w:r w:rsidR="0085599B">
        <w:rPr>
          <w:lang w:val="en-US"/>
        </w:rPr>
        <w:instrText> </w:instrText>
      </w:r>
      <w:r w:rsidR="0085599B">
        <w:rPr>
          <w:rFonts w:ascii="Garamond" w:hAnsi="Garamond"/>
          <w:lang w:val="en-US"/>
        </w:rPr>
        <w:instrText>54). Mean (SD) overall daily wearing time was 8.3 (6.1) hours/day. A total of 40 (66%) participants were non</w:instrText>
      </w:r>
      <w:r w:rsidR="0085599B">
        <w:rPr>
          <w:rFonts w:ascii="Cambria Math" w:hAnsi="Cambria Math" w:cs="Cambria Math"/>
          <w:lang w:val="en-US"/>
        </w:rPr>
        <w:instrText>‐</w:instrText>
      </w:r>
      <w:r w:rsidR="0085599B">
        <w:rPr>
          <w:rFonts w:ascii="Garamond" w:hAnsi="Garamond"/>
          <w:lang w:val="en-US"/>
        </w:rPr>
        <w:instrText xml:space="preserve">adherent. Participants with a consistent wearing pattern showed higher daily wearing times than participants with an inconsistent pattern. Mean (SD) wearing times were 12.7 (4.3) vs 3.6 (4.8) hours/day, respectively (\n                P\n                </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 xml:space="preserve">0.001). Mean (SD) wearing time was significantly higher (\n                P\n                </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 xml:space="preserve">0.010) during weekdays (8.7 (6.0) hours/day) compared to Saturday (8.0 (6.1) hours/day) and Sunday (6.9 (6.2) hours/day). In the multivariate model (R\n                2\n                </w:instrText>
      </w:r>
      <w:r w:rsidR="0085599B">
        <w:rPr>
          <w:lang w:val="en-US"/>
        </w:rPr>
        <w:instrText> </w:instrText>
      </w:r>
      <w:r w:rsidR="0085599B">
        <w:rPr>
          <w:rFonts w:ascii="Garamond" w:hAnsi="Garamond"/>
          <w:lang w:val="en-US"/>
        </w:rPr>
        <w:instrText>=</w:instrText>
      </w:r>
      <w:r w:rsidR="0085599B">
        <w:rPr>
          <w:lang w:val="en-US"/>
        </w:rPr>
        <w:instrText> </w:instrText>
      </w:r>
      <w:r w:rsidR="0085599B">
        <w:rPr>
          <w:rFonts w:ascii="Garamond" w:hAnsi="Garamond"/>
          <w:lang w:val="en-US"/>
        </w:rPr>
        <w:instrText xml:space="preserve">0.28), </w:instrText>
      </w:r>
      <w:r w:rsidR="0085599B">
        <w:rPr>
          <w:rFonts w:ascii="Garamond" w:hAnsi="Garamond" w:cs="Garamond"/>
          <w:lang w:val="en-US"/>
        </w:rPr>
        <w:instrText>“</w:instrText>
      </w:r>
      <w:r w:rsidR="0085599B">
        <w:rPr>
          <w:rFonts w:ascii="Garamond" w:hAnsi="Garamond"/>
          <w:lang w:val="en-US"/>
        </w:rPr>
        <w:instrText>satisfaction with my wear of orthopaedic footwear</w:instrText>
      </w:r>
      <w:r w:rsidR="0085599B">
        <w:rPr>
          <w:rFonts w:ascii="Garamond" w:hAnsi="Garamond" w:cs="Garamond"/>
          <w:lang w:val="en-US"/>
        </w:rPr>
        <w:instrText>”</w:instrText>
      </w:r>
      <w:r w:rsidR="0085599B">
        <w:rPr>
          <w:rFonts w:ascii="Garamond" w:hAnsi="Garamond"/>
          <w:lang w:val="en-US"/>
        </w:rPr>
        <w:instrText xml:space="preserve"> was positively associated (\n                P\n                </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0.001) with wearing time. The other seven multivariate model factors (four demographic variables and three footwear usability variables) were not associated with wearing time.\n              \n            \n            \n              Conclusions\n              Only one out of three people at moderate to high risk of foot ulceration were sufficiently adherent to wearing their orthopaedic footwear. Changing people's wearing behaviour to a more stable pattern seems a potential avenue to improve long</w:instrText>
      </w:r>
      <w:r w:rsidR="0085599B">
        <w:rPr>
          <w:rFonts w:ascii="Cambria Math" w:hAnsi="Cambria Math" w:cs="Cambria Math"/>
          <w:lang w:val="en-US"/>
        </w:rPr>
        <w:instrText>‐</w:instrText>
      </w:r>
      <w:r w:rsidR="0085599B">
        <w:rPr>
          <w:rFonts w:ascii="Garamond" w:hAnsi="Garamond"/>
          <w:lang w:val="en-US"/>
        </w:rPr>
        <w:instrText>term adherence to wearing orthopaedic footwear. Investigated factors are not associated with daily wearing time. Based on these factors the daily wearing time cannot be estimated in daily practice.\n            \n            \n              Trial registration\n              Netherlands Trial Register NL7710. Registered: 6</w:instrText>
      </w:r>
      <w:r w:rsidR="0085599B">
        <w:rPr>
          <w:rFonts w:ascii="Garamond" w:hAnsi="Garamond" w:cs="Garamond"/>
          <w:lang w:val="en-US"/>
        </w:rPr>
        <w:instrText> </w:instrText>
      </w:r>
      <w:r w:rsidR="0085599B">
        <w:rPr>
          <w:rFonts w:ascii="Garamond" w:hAnsi="Garamond"/>
          <w:lang w:val="en-US"/>
        </w:rPr>
        <w:instrText>May 2019.","container-title":"Journal of Foot and Ankle Research","DOI":"10.1186/s13047-023-00656-6","ISSN":"1757-1146, 1757-1146","issue":"1","journalAbbreviation":"Journal of Foot and Ankle Research","language":"en","license":"http://creativecommons.org/licenses/by/4.0/","page":"60","source":"DOI.org (Crossref)","title":"Objectively assessed long</w:instrText>
      </w:r>
      <w:r w:rsidR="0085599B">
        <w:rPr>
          <w:rFonts w:ascii="Cambria Math" w:hAnsi="Cambria Math" w:cs="Cambria Math"/>
          <w:lang w:val="en-US"/>
        </w:rPr>
        <w:instrText>‐</w:instrText>
      </w:r>
      <w:r w:rsidR="0085599B">
        <w:rPr>
          <w:rFonts w:ascii="Garamond" w:hAnsi="Garamond"/>
          <w:lang w:val="en-US"/>
        </w:rPr>
        <w:instrText>term wearing patterns and predictors of wearing orthopaedic footwear in people with diabetes at moderate</w:instrText>
      </w:r>
      <w:r w:rsidR="0085599B">
        <w:rPr>
          <w:rFonts w:ascii="Cambria Math" w:hAnsi="Cambria Math" w:cs="Cambria Math"/>
          <w:lang w:val="en-US"/>
        </w:rPr>
        <w:instrText>‐</w:instrText>
      </w:r>
      <w:r w:rsidR="0085599B">
        <w:rPr>
          <w:rFonts w:ascii="Garamond" w:hAnsi="Garamond"/>
          <w:lang w:val="en-US"/>
        </w:rPr>
        <w:instrText>to</w:instrText>
      </w:r>
      <w:r w:rsidR="0085599B">
        <w:rPr>
          <w:rFonts w:ascii="Cambria Math" w:hAnsi="Cambria Math" w:cs="Cambria Math"/>
          <w:lang w:val="en-US"/>
        </w:rPr>
        <w:instrText>‐</w:instrText>
      </w:r>
      <w:r w:rsidR="0085599B">
        <w:rPr>
          <w:rFonts w:ascii="Garamond" w:hAnsi="Garamond"/>
          <w:lang w:val="en-US"/>
        </w:rPr>
        <w:instrText>high risk of foot ulceration: a 12 months observational study","title-short":"Objectively assessed long</w:instrText>
      </w:r>
      <w:r w:rsidR="0085599B">
        <w:rPr>
          <w:rFonts w:ascii="Cambria Math" w:hAnsi="Cambria Math" w:cs="Cambria Math"/>
          <w:lang w:val="en-US"/>
        </w:rPr>
        <w:instrText>‐</w:instrText>
      </w:r>
      <w:r w:rsidR="0085599B">
        <w:rPr>
          <w:rFonts w:ascii="Garamond" w:hAnsi="Garamond"/>
          <w:lang w:val="en-US"/>
        </w:rPr>
        <w:instrText>term wearing patterns and predictors of wearing orthopaedic footwear in people with diabetes at moderate</w:instrText>
      </w:r>
      <w:r w:rsidR="0085599B">
        <w:rPr>
          <w:rFonts w:ascii="Cambria Math" w:hAnsi="Cambria Math" w:cs="Cambria Math"/>
          <w:lang w:val="en-US"/>
        </w:rPr>
        <w:instrText>‐</w:instrText>
      </w:r>
      <w:r w:rsidR="0085599B">
        <w:rPr>
          <w:rFonts w:ascii="Garamond" w:hAnsi="Garamond"/>
          <w:lang w:val="en-US"/>
        </w:rPr>
        <w:instrText>to</w:instrText>
      </w:r>
      <w:r w:rsidR="0085599B">
        <w:rPr>
          <w:rFonts w:ascii="Cambria Math" w:hAnsi="Cambria Math" w:cs="Cambria Math"/>
          <w:lang w:val="en-US"/>
        </w:rPr>
        <w:instrText>‐</w:instrText>
      </w:r>
      <w:r w:rsidR="0085599B">
        <w:rPr>
          <w:rFonts w:ascii="Garamond" w:hAnsi="Garamond"/>
          <w:lang w:val="en-US"/>
        </w:rPr>
        <w:instrText>high risk of foot ulceration","volume":"16","author":[{"family":"Exterkate","given":"Stein H."},{"family":"Jongebloed</w:instrText>
      </w:r>
      <w:r w:rsidR="0085599B">
        <w:rPr>
          <w:rFonts w:ascii="Cambria Math" w:hAnsi="Cambria Math" w:cs="Cambria Math"/>
          <w:lang w:val="en-US"/>
        </w:rPr>
        <w:instrText>‐</w:instrText>
      </w:r>
      <w:r w:rsidR="0085599B">
        <w:rPr>
          <w:rFonts w:ascii="Garamond" w:hAnsi="Garamond"/>
          <w:lang w:val="en-US"/>
        </w:rPr>
        <w:instrText>Westra","given":"Manon"},{"family":"Ten Klooster","given":"Peter M."},{"family":"Koffijberg","given":"Hendrik"},{"family":"Bode","given":"Christina"},{"family":"Van Gemert</w:instrText>
      </w:r>
      <w:r w:rsidR="0085599B">
        <w:rPr>
          <w:rFonts w:ascii="Cambria Math" w:hAnsi="Cambria Math" w:cs="Cambria Math"/>
          <w:lang w:val="en-US"/>
        </w:rPr>
        <w:instrText>‐</w:instrText>
      </w:r>
      <w:r w:rsidR="0085599B">
        <w:rPr>
          <w:rFonts w:ascii="Garamond" w:hAnsi="Garamond"/>
          <w:lang w:val="en-US"/>
        </w:rPr>
        <w:instrText xml:space="preserve">Pijnen","given":"Julia E. W. C."},{"family":"Van Baal","given":"Josephus G."},{"family":"Van Netten","given":"Jaap J."}],"issued":{"date-parts":[["2023",1]]}}}],"schema":"https://github.com/citation-style-language/schema/raw/master/csl-citation.json"}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7</w:t>
      </w:r>
      <w:r w:rsidR="00AB331B" w:rsidRPr="005F5A72">
        <w:rPr>
          <w:rFonts w:ascii="Garamond" w:hAnsi="Garamond"/>
          <w:lang w:val="en-US"/>
        </w:rPr>
        <w:fldChar w:fldCharType="end"/>
      </w:r>
    </w:p>
    <w:p w14:paraId="7851880C" w14:textId="3D68FDC4" w:rsidR="004E57D3" w:rsidRDefault="001724A5" w:rsidP="004E57D3">
      <w:pPr>
        <w:spacing w:after="60"/>
        <w:jc w:val="both"/>
        <w:rPr>
          <w:rFonts w:ascii="Garamond" w:hAnsi="Garamond"/>
          <w:lang w:val="en-US"/>
        </w:rPr>
      </w:pPr>
      <w:r w:rsidRPr="001724A5">
        <w:rPr>
          <w:rFonts w:ascii="Garamond" w:hAnsi="Garamond"/>
          <w:lang w:val="en-GB"/>
        </w:rPr>
        <w:t>PARADISE (Pressure-, Adherence-, and Education-Driven Service) addresses this translational gap through an integrated intervention combining pressure-guided optimisation of therapeutic footwear and foot orthoses, structured education on adequate foot care and footwear use, and sensor-based adherence monitoring.</w:t>
      </w:r>
      <w:r w:rsidR="008712DA">
        <w:rPr>
          <w:rFonts w:ascii="Garamond" w:hAnsi="Garamond"/>
          <w:lang w:val="en-GB"/>
        </w:rPr>
        <w:t xml:space="preserve"> </w:t>
      </w:r>
      <w:r w:rsidRPr="001724A5">
        <w:rPr>
          <w:rFonts w:ascii="Garamond" w:hAnsi="Garamond"/>
          <w:lang w:val="en-GB"/>
        </w:rPr>
        <w:t>Education and behavioural support are delivered as two distinct components within the Structured Education and Behavioural Intervention Approach (SEBIA): education addresses knowledge and skills for adequate foot care and for the prescribed orthoses, while behavioural support draws on motivational interviewing, solution-focused brief therapy and behaviour change wheel principles, among other evidence-based behavioural change methods, to identify and address individual barriers</w:t>
      </w:r>
      <w:r w:rsidR="005E4930" w:rsidRPr="005F5A72">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{"citationID":"TILrK4jz","properties":{"unsorted":false,"formattedCitation":"\\super 5,8\\uc0\\u8211{}10\\nosupersub{}","plainCitation":"5,8–10","noteIndex":0},"citationItems":[{"id":48,"uris":["http://zotero.org/users/19619518/items/HQRWT4X4"],"itemData":{"id":48,"type":"article-journal","abstract":"OBJECTIVE\n              Custom-made footwear is the treatment of choice to prevent foot ulcer recurrence in diabetes. This footwear primarily aims to offload plantar regions at high ulcer risk. However, ulcer recurrence rates are high. We assessed the effect of offloading-improved custom-made footwear and the role of footwear adherence on plantar foot ulcer recurrence.\n            \n            \n              RESEARCH DESIGN AND METHODS\n              We randomly assigned 171 neuropathic diabetic patients with a recently healed plantar foot ulcer to custom-made footwear with improved and subsequently preserved offloading (</w:instrText>
      </w:r>
      <w:r w:rsidR="0085599B">
        <w:rPr>
          <w:rFonts w:ascii="Cambria Math" w:hAnsi="Cambria Math" w:cs="Cambria Math"/>
          <w:lang w:val="en-US"/>
        </w:rPr>
        <w:instrText>∼</w:instrText>
      </w:r>
      <w:r w:rsidR="0085599B">
        <w:rPr>
          <w:rFonts w:ascii="Garamond" w:hAnsi="Garamond"/>
          <w:lang w:val="en-US"/>
        </w:rPr>
        <w:instrText xml:space="preserve">20% peak pressure relief by modifying the footwear) or to usual care (i.e., nonimproved custom-made footwear). Primary outcome was plantar foot ulcer recurrence in 18 months. Secondary outcome was ulcer recurrence in patients with an objectively measured adherence of </w:instrText>
      </w:r>
      <w:r w:rsidR="0085599B">
        <w:rPr>
          <w:rFonts w:ascii="Garamond" w:hAnsi="Garamond" w:cs="Garamond"/>
          <w:lang w:val="en-US"/>
        </w:rPr>
        <w:instrText>≥</w:instrText>
      </w:r>
      <w:r w:rsidR="0085599B">
        <w:rPr>
          <w:rFonts w:ascii="Garamond" w:hAnsi="Garamond"/>
          <w:lang w:val="en-US"/>
        </w:rPr>
        <w:instrText xml:space="preserve">80% of steps taken.\n            \n            \n              RESULTS\n              On the basis of intention-to-treat, 33 of 85 patients (38.8%) with improved footwear and 38 of 86 patients (44.2%) with usual care had a recurrent ulcer (relative risk −11%, odds ratio 0.80 [95% CI 0.44–1.47], P = 0.48). Ulcer-free survival curves were not significantly different between groups (P = 0.40). In the 79 patients (46% of total group) with high adherence, 9 of 35 (25.7%) with improved footwear and 21 of 44 (47.8%) with usual care had a recurrent ulcer (relative risk −46%, odds ratio 0.38 [0.15–0.99], P = 0.045).\n            \n            \n              CONCLUSIONS\n              Offloading-improved custom-made footwear does not significantly reduce the incidence of plantar foot ulcer recurrence in diabetes compared with custom-made footwear that does not undergo such improvement, unless it is worn as recommended.","container-title":"Diabetes Care","DOI":"10.2337/dc13-0996","ISSN":"0149-5992, 1935-5548","issue":"12","language":"en","page":"4109-4116","source":"DOI.org (Crossref)","title":"Effect of Custom-Made Footwear on Foot Ulcer Recurrence in Diabetes","volume":"36","author":[{"family":"Bus","given":"Sicco A."},{"family":"Waaijman","given":"Roelof"},{"family":"Arts","given":"Mark"},{"family":"De Haart","given":"Mirjam"},{"family":"Busch-Westbroek","given":"Tessa"},{"family":"Van Baal","given":"Jeff"},{"family":"Nollet","given":"Frans"}],"issued":{"date-parts":[["2013",12,1]]}}},{"id":15,"uris":["http://zotero.org/users/19619518/items/BJNTEA29"],"itemData":{"id":15,"type":"article-journal","container-title":"European Journal of Vascular and Endovascular Surgery","DOI":"10.1016/j.ejvs.2020.03.053","ISSN":"10785884","issue":"2","journalAbbreviation":"European Journal of Vascular and Endovascular Surgery","language":"en","page":"282-292","source":"DOI.org (Crossref)","title":"A Systematic Review of the Impact of Foot Care Education on Self Efficacy and Self Care in Patients With Diabetes","volume":"60","author":[{"family":"Goodall","given":"Richard J."},{"family":"Ellauzi","given":"Juan"},{"family":"Tan","given":"Matthew K.H."},{"family":"Onida","given":"Sarah"},{"family":"Davies","given":"Alun H."},{"family":"Shalhoub","given":"Joseph"}],"issued":{"date-parts":[["2020",8]]}}},{"id":14,"uris":["http://zotero.org/users/19619518/items/54DKJVW9"],"itemData":{"id":14,"type":"article-journal","container-title":"Implementation Science","DOI":"10.1186/1748-5908-6-42","ISSN":"1748-5908","issue":"1","journalAbbreviation":"Implementation Sci","language":"en","license":"http://www.springer.com/tdm","page":"42","source":"DOI.org (Crossref)","title":"The behaviour change wheel: A new method for characterising and designing behaviour change interventions","title-short":"The behaviour change wheel","volume":"6","author":[{"family":"Michie","given":"Susan"},{"family":"Van Stralen","given":"Maartje M"},{"family":"West","given":"Robert"}],"issued":{"date-parts":[["2011",12]]}}},{"id":13,"uris":["http://zotero.org/users/19619518/items/ZEQZLJXL"],"itemData":{"id":13,"type":"article-journal","container-title":"Annals of Behavioral Medicine","DOI":"10.1007/s12160-013-9486-6","ISSN":"0883-6612, 1532-4796","issue":"1","journalAbbreviation":"ann. behav. med.","language":"en","page":"81-95","source":"DOI.org (Crossref)","title":"The Behavior Change Technique Taxonomy (v1) of 93 Hierarchically Clustered Techniques: Building an International Consensus for the Reporting of Behavior Change Interventions","title-short":"The Behavior Change Technique Taxonomy (v1) of 93 Hierarchically Clustered Techniques","volume":"46","author":[{"family":"Michie","given":"Susan"},{"family":"Richardson","given":"Michelle"},{"family":"Johnston","given":"Marie"},{"family":"Abraham","given":"Charles"},{"family":"Francis","given":"Jill"},{"family":"Hardeman","given":"Wendy"},{"family":"Eccles","given":"Martin P."},{"family":"Cane","given":"James"},{"family":"Wood","given":"Caroline E."}],"issued":{"date-parts":[["2013",8]]}}}],"schema":"https://github.com/citation-style-language/schema/raw/master/csl-citation.json"}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5,8–10</w:t>
      </w:r>
      <w:r w:rsidR="00AB331B" w:rsidRPr="005F5A72">
        <w:rPr>
          <w:rFonts w:ascii="Garamond" w:hAnsi="Garamond"/>
          <w:lang w:val="en-US"/>
        </w:rPr>
        <w:fldChar w:fldCharType="end"/>
      </w:r>
    </w:p>
    <w:p w14:paraId="0880B552" w14:textId="20A890B6" w:rsidR="009453BA" w:rsidRPr="004E57D3" w:rsidRDefault="00D001DA" w:rsidP="004E57D3">
      <w:pPr>
        <w:spacing w:after="60"/>
        <w:jc w:val="both"/>
        <w:rPr>
          <w:rFonts w:ascii="Garamond" w:hAnsi="Garamond"/>
          <w:lang w:val="en-US"/>
        </w:rPr>
      </w:pPr>
      <w:r w:rsidRPr="00D001DA">
        <w:rPr>
          <w:rFonts w:ascii="Garamond" w:hAnsi="Garamond"/>
          <w:lang w:val="en-GB"/>
        </w:rPr>
        <w:t>PARADISE has been piloted in one Belgian DFC but has not yet undergone large-scale clinical validation. A Dutch precursor combining education, motivational interviewing, and adherence monitoring demonstrated feasibility</w:t>
      </w:r>
      <w:r w:rsidR="001F30D9">
        <w:rPr>
          <w:rFonts w:ascii="Garamond" w:hAnsi="Garamond"/>
          <w:lang w:val="en-GB"/>
        </w:rPr>
        <w:t xml:space="preserve">, </w:t>
      </w:r>
      <w:r w:rsidRPr="00D001DA">
        <w:rPr>
          <w:rFonts w:ascii="Garamond" w:hAnsi="Garamond"/>
          <w:lang w:val="en-GB"/>
        </w:rPr>
        <w:t>but showed limited effects on overall wear time after three months, with improvements mainly observed for indoor footwear use.</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{"citationID":"ZwJskDOt","properties":{"unsorted":false,"formattedCitation":"\\super 11\\nosupersub{}","plainCitation":"11","noteIndex":0},"citationItems":[{"id":52,"uris":["http://zotero.org/users/19619518/items/NSK33Z7U"],"itemData":{"id":52,"type":"article-journal","abstract":"Background: Wearing custom-made footwear is key in diabetes-related foot ulcer prevention. However, adhering to wearing footwear is challenging, in particular at home. Evidence-based interventions with proven effect are needed, but scarce. We developed a multi-modal intervention to improve custom-made footwear use, and investigated short-term efficacy. Methods: We used a multidisciplinary multiphase approach to develop a three-modality intervention: structured education, motivational interviewing, and custom-made indoor footwear. To assess efficacy, we measured mean 2-week wearing time of custom-made footwear with a validated sensor, at baseline and after three months (primary outcome), and in the two weeks directly before and after each modality was administered (secondary outcomes). We assessed differences between timepoints using within-subjects paired t-tests. Results: 53 participants with high risk for ulceration were included: 30 with low [&lt;8 h/day] baseline adherence), 17% females, mean age 66 (SD: 10) years, all with peripheral neuropathy and a recent foot ulcer (mean time since healing: 6 (SD: 9) months). Wearing time increased non-significantly from 4.0 (SD: 2.5) at baseline to 5.5 (SD: 4.3) after three months in the low adherence group (p = 0.068); this was 11.9 (SD: 2.3) to 12.0 (SD: 2.8) in the high adherence group (p = 0.898). Following provision of indoor footwear, wearing time increased significantly for low baseline adherence (∆2.7 h/day (95% CI: 1.0–4.4; p = 0.004) and high baseline adherence (∆2.0 h/day (95% CI: 0.5–3.4; p = 0.010). Following structured education, wearing time increased non-significantly in those with low baseline adherence (∆1.0 h/day (95% CI: −0.2–2.2; p = 0.098). Following motivational interviewing, wearing time remained similar in both groups. Conclusions: The multi-modal intervention program combining structured education, motivational interviewing and custom-made indoor footwear did not result in a statistically significant improvement in the wearing time of custom-made footwear after three months. However, significant improvements followed the provision of indoor footwear, and clinically relevant improvements followed structured education in people with low adherence, providing avenues for implementation and research.","container-title":"Journal of Clinical Medicine","DOI":"10.3390/jcm14113635","ISSN":"2077-0383","issue":"11","journalAbbreviation":"JCM","language":"en","page":"3635","source":"DOI.org (Crossref)","title":"Short-Term Efficacy of a Multi-Modal Intervention Program to Improve Custom-Made Footwear Use in People at High Risk of Diabetes-Related Foot Ulceration","volume":"14","author":[{"family":"Van Netten","given":"Jaap J."},{"family":"Vossen","given":"Lisa E."},{"family":"Driebergen","given":"Faye M."},{"family":"Wolthuis","given":"Danne"},{"family":"Merkx","given":"Maarten J. M."},{"family":"Bus","given":"Sicco A."}],"issued":{"date-parts":[["2025",5,22]]}}}],"schema":"https://github.com/citation-style-language/schema/raw/master/csl-citation.json"}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11</w:t>
      </w:r>
      <w:r w:rsidR="00AB331B" w:rsidRPr="005F5A72">
        <w:rPr>
          <w:rFonts w:ascii="Garamond" w:hAnsi="Garamond"/>
          <w:lang w:val="en-US"/>
        </w:rPr>
        <w:fldChar w:fldCharType="end"/>
      </w:r>
      <w:r w:rsidR="009D6D30" w:rsidRPr="005F5A72">
        <w:rPr>
          <w:rFonts w:ascii="Garamond" w:hAnsi="Garamond"/>
          <w:lang w:val="en-US"/>
        </w:rPr>
        <w:t xml:space="preserve"> </w:t>
      </w:r>
      <w:r w:rsidR="00271357" w:rsidRPr="00271357">
        <w:rPr>
          <w:rFonts w:ascii="Garamond" w:hAnsi="Garamond"/>
          <w:lang w:val="en-GB"/>
        </w:rPr>
        <w:t>Building on evidence for pressure-guided footwear optimisation, adherence monitoring, and behavioural interventions, PARADISE extends this approach through personalised behavioural feedback, prolonged follow-up, and integration into routine Belgian multidisciplinary care. This doctoral project will evaluate the clinical effectiveness of PARADISE within Belgian DFCs, generating evidence for sustainable integration of personalised diabetic-foot prevention into routine practice.</w:t>
      </w:r>
    </w:p>
    <w:p w14:paraId="6964A5F9" w14:textId="24AF9212" w:rsidR="009453BA" w:rsidRPr="00815A84" w:rsidRDefault="00D22EB2" w:rsidP="004E57D3">
      <w:pPr>
        <w:pBdr>
          <w:bottom w:val="single" w:sz="6" w:space="2" w:color="2A7F8E"/>
        </w:pBdr>
        <w:spacing w:after="60"/>
        <w:rPr>
          <w:rFonts w:ascii="Garamond" w:hAnsi="Garamond"/>
          <w:sz w:val="28"/>
          <w:szCs w:val="28"/>
          <w:lang w:val="en-US"/>
        </w:rPr>
      </w:pPr>
      <w:r w:rsidRPr="00815A84">
        <w:rPr>
          <w:rFonts w:ascii="Garamond" w:eastAsia="Calibri" w:hAnsi="Garamond"/>
          <w:b/>
          <w:bCs/>
          <w:color w:val="20415A"/>
          <w:sz w:val="28"/>
          <w:szCs w:val="28"/>
          <w:lang w:val="en-US"/>
        </w:rPr>
        <w:t>2</w:t>
      </w:r>
      <w:proofErr w:type="gramStart"/>
      <w:r w:rsidRPr="00815A84">
        <w:rPr>
          <w:rFonts w:ascii="Garamond" w:eastAsia="Calibri" w:hAnsi="Garamond"/>
          <w:b/>
          <w:bCs/>
          <w:color w:val="20415A"/>
          <w:sz w:val="28"/>
          <w:szCs w:val="28"/>
          <w:lang w:val="en-US"/>
        </w:rPr>
        <w:t>.  General</w:t>
      </w:r>
      <w:proofErr w:type="gramEnd"/>
      <w:r w:rsidRPr="00815A84">
        <w:rPr>
          <w:rFonts w:ascii="Garamond" w:eastAsia="Calibri" w:hAnsi="Garamond"/>
          <w:b/>
          <w:bCs/>
          <w:color w:val="20415A"/>
          <w:sz w:val="28"/>
          <w:szCs w:val="28"/>
          <w:lang w:val="en-US"/>
        </w:rPr>
        <w:t xml:space="preserve"> hypothesis and specific aims</w:t>
      </w:r>
    </w:p>
    <w:p w14:paraId="635AD9E1" w14:textId="77777777" w:rsidR="004E57D3" w:rsidRDefault="005309EE" w:rsidP="004E57D3">
      <w:pPr>
        <w:spacing w:after="60"/>
        <w:jc w:val="both"/>
        <w:rPr>
          <w:rFonts w:ascii="Garamond" w:hAnsi="Garamond"/>
          <w:lang w:val="en-GB"/>
        </w:rPr>
      </w:pPr>
      <w:r w:rsidRPr="005F5A72">
        <w:rPr>
          <w:rFonts w:ascii="Garamond" w:hAnsi="Garamond"/>
          <w:b/>
          <w:lang w:val="en-US"/>
        </w:rPr>
        <w:t xml:space="preserve">General hypothesis. </w:t>
      </w:r>
      <w:r w:rsidR="009048E5" w:rsidRPr="009048E5">
        <w:rPr>
          <w:rFonts w:ascii="Garamond" w:hAnsi="Garamond"/>
          <w:lang w:val="en-GB"/>
        </w:rPr>
        <w:t>In adults with diabetes and a high-risk foot, adding PARADISE to standard care (Optimal Care) will reduce biomechanical risk factors, improve objectively measured footwear adherence, and decrease 18-month foot-ulcer recurrence compared with standard care alone (Usual Care).</w:t>
      </w:r>
    </w:p>
    <w:p w14:paraId="00F95CAF" w14:textId="1C4D7A55" w:rsidR="007D5D60" w:rsidRPr="004E57D3" w:rsidRDefault="005309EE" w:rsidP="004E57D3">
      <w:pPr>
        <w:spacing w:after="60"/>
        <w:jc w:val="both"/>
        <w:rPr>
          <w:rFonts w:ascii="Garamond" w:hAnsi="Garamond"/>
          <w:lang w:val="en-GB"/>
        </w:rPr>
      </w:pPr>
      <w:r w:rsidRPr="005F5A72">
        <w:rPr>
          <w:rFonts w:ascii="Garamond" w:hAnsi="Garamond"/>
          <w:b/>
          <w:bCs/>
          <w:color w:val="1B2A33"/>
          <w:lang w:val="en-US"/>
        </w:rPr>
        <w:t>Specific aims</w:t>
      </w:r>
    </w:p>
    <w:p w14:paraId="3E23A297" w14:textId="14AD18B5" w:rsidR="002F56D7" w:rsidRPr="005F5A72" w:rsidRDefault="002F56D7" w:rsidP="004E57D3">
      <w:pPr>
        <w:numPr>
          <w:ilvl w:val="0"/>
          <w:numId w:val="9"/>
        </w:numPr>
        <w:spacing w:after="60"/>
        <w:jc w:val="both"/>
        <w:rPr>
          <w:rFonts w:ascii="Garamond" w:eastAsia="Arial" w:hAnsi="Garamond"/>
          <w:lang w:val="en-US"/>
        </w:rPr>
      </w:pPr>
      <w:r w:rsidRPr="005F5A72">
        <w:rPr>
          <w:rFonts w:ascii="Garamond" w:hAnsi="Garamond"/>
          <w:b/>
          <w:lang w:val="en-US"/>
        </w:rPr>
        <w:t xml:space="preserve">A1 — Trial </w:t>
      </w:r>
      <w:proofErr w:type="spellStart"/>
      <w:r w:rsidRPr="005F5A72">
        <w:rPr>
          <w:rFonts w:ascii="Garamond" w:hAnsi="Garamond"/>
          <w:b/>
          <w:lang w:val="en-US"/>
        </w:rPr>
        <w:t>operationalisation</w:t>
      </w:r>
      <w:proofErr w:type="spellEnd"/>
      <w:r w:rsidRPr="005F5A72">
        <w:rPr>
          <w:rFonts w:ascii="Garamond" w:hAnsi="Garamond"/>
          <w:b/>
          <w:lang w:val="en-US"/>
        </w:rPr>
        <w:t xml:space="preserve"> and site </w:t>
      </w:r>
      <w:r w:rsidR="00244C5C" w:rsidRPr="005F5A72">
        <w:rPr>
          <w:rFonts w:ascii="Garamond" w:hAnsi="Garamond"/>
          <w:b/>
          <w:lang w:val="en-US"/>
        </w:rPr>
        <w:t>readiness.</w:t>
      </w:r>
      <w:r w:rsidR="00244C5C" w:rsidRPr="00244C5C">
        <w:rPr>
          <w:rFonts w:ascii="Garamond" w:hAnsi="Garamond"/>
          <w:lang w:val="en-GB"/>
        </w:rPr>
        <w:t xml:space="preserve"> </w:t>
      </w:r>
      <w:r w:rsidR="00510604" w:rsidRPr="00510604">
        <w:rPr>
          <w:rFonts w:ascii="Garamond" w:hAnsi="Garamond"/>
          <w:lang w:val="en-GB"/>
        </w:rPr>
        <w:t>Standardise and pilot PARADISE across six DFCs by finalising protocols, assessment procedures, workflows and documentation pathways, ensuring trial readiness.</w:t>
      </w:r>
    </w:p>
    <w:p w14:paraId="73DDDCC7" w14:textId="5690F051" w:rsidR="00F82FCD" w:rsidRPr="005F5A72" w:rsidRDefault="002F56D7" w:rsidP="004E57D3">
      <w:pPr>
        <w:numPr>
          <w:ilvl w:val="0"/>
          <w:numId w:val="9"/>
        </w:numPr>
        <w:spacing w:after="60"/>
        <w:jc w:val="both"/>
        <w:rPr>
          <w:rFonts w:ascii="Garamond" w:eastAsia="Arial" w:hAnsi="Garamond"/>
          <w:lang w:val="en-US"/>
        </w:rPr>
      </w:pPr>
      <w:r w:rsidRPr="005F5A72">
        <w:rPr>
          <w:rFonts w:ascii="Garamond" w:hAnsi="Garamond"/>
          <w:b/>
          <w:lang w:val="en-US"/>
        </w:rPr>
        <w:t xml:space="preserve">A2 — Ulcer recurrence (primary clinical endpoint). </w:t>
      </w:r>
      <w:r w:rsidR="00BC567F" w:rsidRPr="00BC567F">
        <w:rPr>
          <w:rFonts w:ascii="Garamond" w:hAnsi="Garamond"/>
          <w:lang w:val="en-GB"/>
        </w:rPr>
        <w:t>Determine whether adding PARADISE to usual care reduces 18-month foot-ulcer recurrence compared with usual care alone.</w:t>
      </w:r>
    </w:p>
    <w:p w14:paraId="6E7F69B1" w14:textId="5FEF5E39" w:rsidR="00F82FCD" w:rsidRPr="005F5A72" w:rsidRDefault="002F56D7" w:rsidP="004E57D3">
      <w:pPr>
        <w:numPr>
          <w:ilvl w:val="0"/>
          <w:numId w:val="9"/>
        </w:numPr>
        <w:spacing w:after="60"/>
        <w:jc w:val="both"/>
        <w:rPr>
          <w:rFonts w:ascii="Garamond" w:eastAsia="Arial" w:hAnsi="Garamond"/>
          <w:lang w:val="en-US"/>
        </w:rPr>
      </w:pPr>
      <w:r w:rsidRPr="005F5A72">
        <w:rPr>
          <w:rFonts w:ascii="Garamond" w:hAnsi="Garamond"/>
          <w:b/>
          <w:lang w:val="en-US"/>
        </w:rPr>
        <w:t xml:space="preserve">A3 — Mechanistic pathway (pre-specified mediation). </w:t>
      </w:r>
      <w:r w:rsidR="00554604" w:rsidRPr="00554604">
        <w:rPr>
          <w:rFonts w:ascii="Garamond" w:hAnsi="Garamond"/>
          <w:lang w:val="en-GB"/>
        </w:rPr>
        <w:t>Determine whether PARADISE reduces in-shoe peak plantar pressure and increases objectively measured footwear adherence, and whether adherence mediates the effect on ulcer recurrence. Adherence is measured and reported in full but carries no success criterion of its own</w:t>
      </w:r>
      <w:r w:rsidR="00554604">
        <w:rPr>
          <w:rFonts w:ascii="Garamond" w:hAnsi="Garamond"/>
          <w:lang w:val="en-GB"/>
        </w:rPr>
        <w:t xml:space="preserve">, with </w:t>
      </w:r>
      <w:r w:rsidR="00554604" w:rsidRPr="00554604">
        <w:rPr>
          <w:rFonts w:ascii="Garamond" w:hAnsi="Garamond"/>
          <w:lang w:val="en-GB"/>
        </w:rPr>
        <w:t>the clinically relevant ≥80% threshold as the reference</w:t>
      </w:r>
      <w:r w:rsidR="00554604">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{"citationID":"UqqWZ1M2","properties":{"unsorted":false,"formattedCitation":"\\super 6\\nosupersub{}","plainCitation":"6","noteIndex":0},"citationItems":[{"id":16,"uris":["http://zotero.org/users/19619518/items/PZIVAKCP"],"itemData":{"id":16,"type":"article-journal","abstract":"OBJECTIVE\n              Prescription custom-made footwear can only be effective in preventing diabetic foot ulcers if worn by the patient. Particularly, the high prevalence of recurrent foot ulcers focuses the attention on adherence, for which objective data are nonexisting. We objectively assessed adherence in patients with high risk of ulcer recurrence and evaluated what determines adherence.\n            \n            \n              RESEARCH DESIGN AND METHODS\n              In 107 patients with diabetes, neuropathy, a recently healed plantar foot ulcer, and custom-made footwear, footwear use was measured during 7 consecutive days using a shoe-worn, temperature-based monitor. Daily step count was measured simultaneously using an ankle-worn activity monitor. Patients logged time away from home. Adherence was calculated as the percentage of steps that prescription footwear was worn. Determinants of adherence were evaluated in multivariate linear regression analysis.\n            \n            \n              RESULTS\n              Mean ± SD adherence was 71 ± 25%. Adherence at home was 61 ± 32%, over 3,959 ± 2,594 steps, and away from home 87 ± 26%, over 2,604 ± 2,507 steps. In 35 patients with low adherence (&amp;lt;60%), adherence at home was 28 ± 24%. Lower BMI, more severe foot deformity, and more appealing footwear were significantly associated with higher adherence.\n            \n            \n              CONCLUSIONS\n              The results show that adherence to wearing custom-made footwear is insufficient, particularly at home where patients exhibit their largest walking activity. This low adherence is a major threat for reulceration. These objective findings provide directions for improvement in adherence, which could include prescribing specific off-loading footwear for indoors, and they set a reference for future comparative research on footwear adherence in diabetes.","container-title":"Diabetes Care","DOI":"10.2337/dc12-1330","ISSN":"0149-5992, 1935-5548","issue":"6","language":"en","page":"1613-1618","source":"DOI.org (Crossref)","title":"Adherence to Wearing Prescription Custom-Made Footwear in Patients With Diabetes at High Risk for Plantar Foot Ulceration","volume":"36","author":[{"family":"Waaijman","given":"Roelof"},{"family":"Keukenkamp","given":"Renske"},{"family":"De Haart","given":"Mirjam"},{"family":"Polomski","given":"Wojtek P."},{"family":"Nollet","given":"Frans"},{"family":"Bus","given":"Sicco A."}],"issued":{"date-parts":[["2013",6,1]]}}}],"schema":"https://github.com/citation-style-language/schema/raw/master/csl-citation.json"}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6</w:t>
      </w:r>
      <w:r w:rsidR="00AB331B" w:rsidRPr="005F5A72">
        <w:rPr>
          <w:rFonts w:ascii="Garamond" w:hAnsi="Garamond"/>
          <w:lang w:val="en-US"/>
        </w:rPr>
        <w:fldChar w:fldCharType="end"/>
      </w:r>
    </w:p>
    <w:p w14:paraId="1819A71E" w14:textId="6ACFA9E7" w:rsidR="0067052F" w:rsidRPr="005F5A72" w:rsidRDefault="002F56D7" w:rsidP="004E57D3">
      <w:pPr>
        <w:numPr>
          <w:ilvl w:val="0"/>
          <w:numId w:val="9"/>
        </w:numPr>
        <w:spacing w:after="60"/>
        <w:jc w:val="both"/>
        <w:rPr>
          <w:rFonts w:ascii="Garamond" w:eastAsia="Arial" w:hAnsi="Garamond"/>
          <w:lang w:val="en-US"/>
        </w:rPr>
      </w:pPr>
      <w:r w:rsidRPr="005F5A72">
        <w:rPr>
          <w:rFonts w:ascii="Garamond" w:hAnsi="Garamond"/>
          <w:b/>
          <w:lang w:val="en-US"/>
        </w:rPr>
        <w:t xml:space="preserve">A4 — Secondary outcomes, health impact, and integrated effectiveness analysis. </w:t>
      </w:r>
      <w:r w:rsidR="00510604" w:rsidRPr="00510604">
        <w:rPr>
          <w:rFonts w:ascii="Garamond" w:hAnsi="Garamond"/>
          <w:lang w:val="en-GB"/>
        </w:rPr>
        <w:t>Evaluate the broader clinical and patient-centred impact of PARADISE by assessing recurrence characteristics, ulcer-free survival, foot-care behaviour (Nottingham Assessment of Functional Footcare, NAFF), health-related quality of life (EQ-5D-5L), and health-economic outcome</w:t>
      </w:r>
      <w:r w:rsidR="00510604">
        <w:rPr>
          <w:rFonts w:ascii="Garamond" w:hAnsi="Garamond"/>
          <w:lang w:val="en-GB"/>
        </w:rPr>
        <w:t>.</w:t>
      </w:r>
    </w:p>
    <w:p>
      <w:pPr>
        <w:spacing w:after="60"/>
      </w:pPr>
      <w:r>
        <w:rPr>
          <w:b/>
        </w:rPr>
        <w:t xml:space="preserve">Candidate’s contribution and joint PhD. </w:t>
      </w:r>
      <w:r>
        <w:t>This is a joint KU Leuven–VUB doctorate in which two complementary doctoral projects run on the same trial. The present candidate leads the clinical trial: protocol development, ethics and regulatory submission, multicentre coordination, investigator training and site readiness, recruitment oversight, quality and fidelity monitoring, data management, and the analyses of ulcer recurrence, plantar pressure and footwear adherence. The parallel doctorate leads the process evaluation and the health-economic evaluation. Both researchers contribute to study conduct and outputs, with authorship aligned to responsibilities. Alongside the trial, the candidate conducts a registered scoping review, “Patient-specific offloading insole design in diabetic foot disease: a scoping review of biomechanical, clinical and health-economic evidence”. Local clinical teams deliver patient care and site-level assessments.</w:t>
      </w:r>
    </w:p>
    <w:p w14:paraId="00F95CB4" w14:textId="77777777" w:rsidR="007D5D60" w:rsidRPr="00815A84" w:rsidRDefault="005309EE" w:rsidP="004E57D3">
      <w:pPr>
        <w:pBdr>
          <w:bottom w:val="single" w:sz="6" w:space="2" w:color="2A7F8E"/>
        </w:pBdr>
        <w:spacing w:after="60"/>
        <w:rPr>
          <w:rFonts w:ascii="Garamond" w:hAnsi="Garamond"/>
          <w:sz w:val="28"/>
          <w:szCs w:val="28"/>
          <w:lang w:val="en-US"/>
        </w:rPr>
      </w:pPr>
      <w:r w:rsidRPr="00815A84">
        <w:rPr>
          <w:rFonts w:ascii="Garamond" w:eastAsia="Calibri" w:hAnsi="Garamond"/>
          <w:b/>
          <w:bCs/>
          <w:color w:val="20415A"/>
          <w:sz w:val="28"/>
          <w:szCs w:val="28"/>
          <w:lang w:val="en-US"/>
        </w:rPr>
        <w:t>3</w:t>
      </w:r>
      <w:proofErr w:type="gramStart"/>
      <w:r w:rsidRPr="00815A84">
        <w:rPr>
          <w:rFonts w:ascii="Garamond" w:eastAsia="Calibri" w:hAnsi="Garamond"/>
          <w:b/>
          <w:bCs/>
          <w:color w:val="20415A"/>
          <w:sz w:val="28"/>
          <w:szCs w:val="28"/>
          <w:lang w:val="en-US"/>
        </w:rPr>
        <w:t>.  Methodology</w:t>
      </w:r>
      <w:proofErr w:type="gramEnd"/>
    </w:p>
    <w:p w14:paraId="6EFE189F" w14:textId="3181C6C6" w:rsidR="00D75C6C" w:rsidRPr="00D75C6C" w:rsidRDefault="00667F35" w:rsidP="004E57D3">
      <w:pPr>
        <w:spacing w:after="60"/>
        <w:jc w:val="both"/>
        <w:rPr>
          <w:rFonts w:ascii="Garamond" w:hAnsi="Garamond"/>
          <w:lang w:val="en-GB"/>
        </w:rPr>
      </w:pPr>
      <w:r w:rsidRPr="005F5A72">
        <w:rPr>
          <w:rFonts w:ascii="Garamond" w:hAnsi="Garamond"/>
          <w:b/>
          <w:lang w:val="en-US"/>
        </w:rPr>
        <w:t xml:space="preserve">Design and participants. </w:t>
      </w:r>
      <w:r w:rsidR="00D75C6C" w:rsidRPr="00D75C6C">
        <w:rPr>
          <w:rFonts w:ascii="Garamond" w:hAnsi="Garamond"/>
          <w:lang w:val="en-GB"/>
        </w:rPr>
        <w:t>A prospective, multicentre, parallel-group randomised controlled trial (RCT) will randomise 144 adults with diabetes and an IWGDF category 3 high-risk foot in a 1:1 ratio, stratified by centre, across six Belgian RIZIV–INAMI-recognised DFCs in academic and non-academic settings. Participants will be followed for 18 months. Eligible participants have type 1 or type 2 diabetes with a plantar ulcer healed within the preceding 18 months or a partial foot amputation, and use, or are willing to use, prescribed therapeutic footwear.</w:t>
      </w:r>
    </w:p>
    <w:p w14:paraId="54164DBA" w14:textId="77777777" w:rsidR="004E57D3" w:rsidRDefault="00D75C6C" w:rsidP="004E57D3">
      <w:pPr>
        <w:spacing w:after="60"/>
        <w:jc w:val="both"/>
        <w:rPr>
          <w:rFonts w:ascii="Garamond" w:hAnsi="Garamond"/>
          <w:lang w:val="en-GB"/>
        </w:rPr>
      </w:pPr>
      <w:r w:rsidRPr="00D75C6C">
        <w:rPr>
          <w:rFonts w:ascii="Garamond" w:hAnsi="Garamond"/>
          <w:lang w:val="en-GB"/>
        </w:rPr>
        <w:t>Participants will be allocated to Usual Care, representing current Belgian diabetic-foot care, or Optimal Care, comprising Usual Care supplemented with PARADISE.</w:t>
      </w:r>
    </w:p>
    <w:p w14:paraId="53726FA7" w14:textId="1254A3A3" w:rsidR="0056207F" w:rsidRPr="000856AE" w:rsidRDefault="007E779C" w:rsidP="004E57D3">
      <w:pPr>
        <w:spacing w:after="60"/>
        <w:jc w:val="both"/>
        <w:rPr>
          <w:rFonts w:ascii="Garamond" w:hAnsi="Garamond"/>
          <w:lang w:val="en-GB"/>
        </w:rPr>
      </w:pPr>
      <w:r w:rsidRPr="005F5A72">
        <w:rPr>
          <w:rFonts w:ascii="Garamond" w:hAnsi="Garamond"/>
          <w:b/>
          <w:lang w:val="en-US"/>
        </w:rPr>
        <w:t xml:space="preserve">Interventions. </w:t>
      </w:r>
      <w:r w:rsidR="000856AE" w:rsidRPr="000856AE">
        <w:rPr>
          <w:rFonts w:ascii="Garamond" w:hAnsi="Garamond"/>
          <w:lang w:val="en-GB"/>
        </w:rPr>
        <w:t>PARADISE integrates three evidence-based components addressing the main determinants of diabetic foot-ulcer recurrence: biomechanical risk, footwear adherence, and adequate foot care.</w:t>
      </w:r>
    </w:p>
    <w:p w14:paraId="413B0E8A" w14:textId="4E08564C" w:rsidR="00734D8C" w:rsidRPr="005F5A72" w:rsidRDefault="00734D8C" w:rsidP="004E57D3">
      <w:pPr>
        <w:spacing w:after="60"/>
        <w:jc w:val="both"/>
        <w:rPr>
          <w:rFonts w:ascii="Garamond" w:hAnsi="Garamond"/>
          <w:vertAlign w:val="superscript"/>
          <w:lang w:val="en-US"/>
        </w:rPr>
      </w:pPr>
      <w:r w:rsidRPr="005F5A72">
        <w:rPr>
          <w:rFonts w:ascii="Garamond" w:hAnsi="Garamond"/>
          <w:b/>
          <w:lang w:val="en-US"/>
        </w:rPr>
        <w:t xml:space="preserve">(1) </w:t>
      </w:r>
      <w:r w:rsidR="009D64AC" w:rsidRPr="005F5A72">
        <w:rPr>
          <w:rFonts w:ascii="Garamond" w:hAnsi="Garamond"/>
          <w:b/>
          <w:lang w:val="en-US"/>
        </w:rPr>
        <w:t xml:space="preserve">Pressure-driven orthosis </w:t>
      </w:r>
      <w:proofErr w:type="spellStart"/>
      <w:r w:rsidR="009D64AC" w:rsidRPr="005F5A72">
        <w:rPr>
          <w:rFonts w:ascii="Garamond" w:hAnsi="Garamond"/>
          <w:b/>
          <w:lang w:val="en-US"/>
        </w:rPr>
        <w:t>optimisation</w:t>
      </w:r>
      <w:proofErr w:type="spellEnd"/>
      <w:r w:rsidR="009D64AC" w:rsidRPr="005F5A72">
        <w:rPr>
          <w:rFonts w:ascii="Garamond" w:hAnsi="Garamond"/>
          <w:b/>
          <w:lang w:val="en-US"/>
        </w:rPr>
        <w:t xml:space="preserve">. </w:t>
      </w:r>
      <w:r w:rsidR="000856AE" w:rsidRPr="000856AE">
        <w:rPr>
          <w:rFonts w:ascii="Garamond" w:hAnsi="Garamond"/>
          <w:lang w:val="en-GB"/>
        </w:rPr>
        <w:t>Existing in-shoe plantar-pressure systems (Novel/</w:t>
      </w:r>
      <w:proofErr w:type="spellStart"/>
      <w:r w:rsidR="00D27DC8">
        <w:rPr>
          <w:rFonts w:ascii="Garamond" w:hAnsi="Garamond"/>
          <w:lang w:val="en-GB"/>
        </w:rPr>
        <w:t>Pedar</w:t>
      </w:r>
      <w:proofErr w:type="spellEnd"/>
      <w:r w:rsidR="000856AE" w:rsidRPr="000856AE">
        <w:rPr>
          <w:rFonts w:ascii="Garamond" w:hAnsi="Garamond"/>
          <w:lang w:val="en-GB"/>
        </w:rPr>
        <w:t>) identify peak plantar pressure and guide iterative orthosis optimisation towards a target peak pressure &lt;200 kPa or ≥25% reduction from baseline.</w:t>
      </w:r>
      <w:r w:rsidR="00AB331B" w:rsidRPr="005F5A72">
        <w:rPr>
          <w:rFonts w:ascii="Garamond" w:hAnsi="Garamond"/>
          <w:vertAlign w:val="superscript"/>
          <w:lang w:val="en-US"/>
        </w:rPr>
        <w:fldChar w:fldCharType="begin"/>
      </w:r>
      <w:r w:rsidR="0085599B">
        <w:rPr>
          <w:rFonts w:ascii="Garamond" w:hAnsi="Garamond"/>
          <w:vertAlign w:val="superscript"/>
          <w:lang w:val="en-US"/>
        </w:rPr>
        <w:instrText xml:space="preserve"> ADDIN ZOTERO_ITEM CSL_CITATION {"citationID":"zvZSRODa","properties":{"unsorted":false,"formattedCitation":"\\super 5\\nosupersub{}","plainCitation":"5","noteIndex":0},"citationItems":[{"id":48,"uris":["http://zotero.org/users/19619518/items/HQRWT4X4"],"itemData":{"id":48,"type":"article-journal","abstract":"OBJECTIVE\n              Custom-made footwear is the treatment of choice to prevent foot ulcer recurrence in diabetes. This footwear primarily aims to offload plantar regions at high ulcer risk. However, ulcer recurrence rates are high. We assessed the effect of offloading-improved custom-made footwear and the role of footwear adherence on plantar foot ulcer recurrence.\n            \n            \n              RESEARCH DESIGN AND METHODS\n              We randomly assigned 171 neuropathic diabetic patients with a recently healed plantar foot ulcer to custom-made footwear with improved and subsequently preserved offloading (</w:instrText>
      </w:r>
      <w:r w:rsidR="0085599B">
        <w:rPr>
          <w:rFonts w:ascii="Cambria Math" w:hAnsi="Cambria Math" w:cs="Cambria Math"/>
          <w:vertAlign w:val="superscript"/>
          <w:lang w:val="en-US"/>
        </w:rPr>
        <w:instrText>∼</w:instrText>
      </w:r>
      <w:r w:rsidR="0085599B">
        <w:rPr>
          <w:rFonts w:ascii="Garamond" w:hAnsi="Garamond"/>
          <w:vertAlign w:val="superscript"/>
          <w:lang w:val="en-US"/>
        </w:rPr>
        <w:instrText xml:space="preserve">20% peak pressure relief by modifying the footwear) or to usual care (i.e., nonimproved custom-made footwear). Primary outcome was plantar foot ulcer recurrence in 18 months. Secondary outcome was ulcer recurrence in patients with an objectively measured adherence of </w:instrText>
      </w:r>
      <w:r w:rsidR="0085599B">
        <w:rPr>
          <w:rFonts w:ascii="Garamond" w:hAnsi="Garamond" w:cs="Garamond"/>
          <w:vertAlign w:val="superscript"/>
          <w:lang w:val="en-US"/>
        </w:rPr>
        <w:instrText>≥</w:instrText>
      </w:r>
      <w:r w:rsidR="0085599B">
        <w:rPr>
          <w:rFonts w:ascii="Garamond" w:hAnsi="Garamond"/>
          <w:vertAlign w:val="superscript"/>
          <w:lang w:val="en-US"/>
        </w:rPr>
        <w:instrText xml:space="preserve">80% of steps taken.\n            \n            \n              RESULTS\n              On the basis of intention-to-treat, 33 of 85 patients (38.8%) with improved footwear and 38 of 86 patients (44.2%) with usual care had a recurrent ulcer (relative risk −11%, odds ratio 0.80 [95% CI 0.44–1.47], P = 0.48). Ulcer-free survival curves were not significantly different between groups (P = 0.40). In the 79 patients (46% of total group) with high adherence, 9 of 35 (25.7%) with improved footwear and 21 of 44 (47.8%) with usual care had a recurrent ulcer (relative risk −46%, odds ratio 0.38 [0.15–0.99], P = 0.045).\n            \n            \n              CONCLUSIONS\n              Offloading-improved custom-made footwear does not significantly reduce the incidence of plantar foot ulcer recurrence in diabetes compared with custom-made footwear that does not undergo such improvement, unless it is worn as recommended.","container-title":"Diabetes Care","DOI":"10.2337/dc13-0996","ISSN":"0149-5992, 1935-5548","issue":"12","language":"en","page":"4109-4116","source":"DOI.org (Crossref)","title":"Effect of Custom-Made Footwear on Foot Ulcer Recurrence in Diabetes","volume":"36","author":[{"family":"Bus","given":"Sicco A."},{"family":"Waaijman","given":"Roelof"},{"family":"Arts","given":"Mark"},{"family":"De Haart","given":"Mirjam"},{"family":"Busch-Westbroek","given":"Tessa"},{"family":"Van Baal","given":"Jeff"},{"family":"Nollet","given":"Frans"}],"issued":{"date-parts":[["2013",12,1]]}}}],"schema":"https://github.com/citation-style-language/schema/raw/master/csl-citation.json"} </w:instrText>
      </w:r>
      <w:r w:rsidR="00AB331B" w:rsidRPr="005F5A72">
        <w:rPr>
          <w:rFonts w:ascii="Garamond" w:hAnsi="Garamond"/>
          <w:vertAlign w:val="superscript"/>
          <w:lang w:val="en-US"/>
        </w:rPr>
        <w:fldChar w:fldCharType="separate"/>
      </w:r>
      <w:r w:rsidR="00A275AD" w:rsidRPr="00A275AD">
        <w:rPr>
          <w:rFonts w:ascii="Garamond" w:hAnsi="Garamond"/>
          <w:vertAlign w:val="superscript"/>
          <w:lang w:val="en-GB"/>
        </w:rPr>
        <w:t>5</w:t>
      </w:r>
      <w:r w:rsidR="00AB331B" w:rsidRPr="005F5A72">
        <w:rPr>
          <w:rFonts w:ascii="Garamond" w:hAnsi="Garamond"/>
          <w:vertAlign w:val="superscript"/>
          <w:lang w:val="en-US"/>
        </w:rPr>
        <w:fldChar w:fldCharType="end"/>
      </w:r>
    </w:p>
    <w:p w14:paraId="676914C6" w14:textId="2572418E" w:rsidR="00734D8C" w:rsidRPr="005F5A72" w:rsidRDefault="009D64AC" w:rsidP="004E57D3">
      <w:pPr>
        <w:spacing w:after="60"/>
        <w:jc w:val="both"/>
        <w:rPr>
          <w:rFonts w:ascii="Garamond" w:hAnsi="Garamond"/>
          <w:vertAlign w:val="superscript"/>
          <w:lang w:val="en-US"/>
        </w:rPr>
      </w:pPr>
      <w:r w:rsidRPr="005F5A72">
        <w:rPr>
          <w:rFonts w:ascii="Garamond" w:hAnsi="Garamond"/>
          <w:b/>
          <w:lang w:val="en-US"/>
        </w:rPr>
        <w:lastRenderedPageBreak/>
        <w:t xml:space="preserve">(2) Objective footwear-adherence monitoring. </w:t>
      </w:r>
      <w:r w:rsidR="0035003B" w:rsidRPr="0035003B">
        <w:rPr>
          <w:rFonts w:ascii="Garamond" w:hAnsi="Garamond"/>
          <w:lang w:val="en-GB"/>
        </w:rPr>
        <w:t xml:space="preserve">Sensor-based technologies (Orthotimer and </w:t>
      </w:r>
      <w:proofErr w:type="spellStart"/>
      <w:r w:rsidR="0035003B" w:rsidRPr="0035003B">
        <w:rPr>
          <w:rFonts w:ascii="Garamond" w:hAnsi="Garamond"/>
          <w:lang w:val="en-GB"/>
        </w:rPr>
        <w:t>MoveMonitor</w:t>
      </w:r>
      <w:proofErr w:type="spellEnd"/>
      <w:r w:rsidR="0035003B" w:rsidRPr="0035003B">
        <w:rPr>
          <w:rFonts w:ascii="Garamond" w:hAnsi="Garamond"/>
          <w:lang w:val="en-GB"/>
        </w:rPr>
        <w:t>) quantify footwear wearing time and contextualise adherence against daily activity exposure, addressing the limitations of self-reported footwear use</w:t>
      </w:r>
      <w:r w:rsidRPr="005F5A72">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{"citationID":"5H9hUGmg","properties":{"unsorted":false,"formattedCitation":"\\super 6,12,13\\nosupersub{}","plainCitation":"6,12,13","noteIndex":0},"citationItems":[{"id":16,"uris":["http://zotero.org/users/19619518/items/PZIVAKCP"],"itemData":{"id":16,"type":"article-journal","abstract":"OBJECTIVE\n              Prescription custom-made footwear can only be effective in preventing diabetic foot ulcers if worn by the patient. Particularly, the high prevalence of recurrent foot ulcers focuses the attention on adherence, for which objective data are nonexisting. We objectively assessed adherence in patients with high risk of ulcer recurrence and evaluated what determines adherence.\n            \n            \n              RESEARCH DESIGN AND METHODS\n              In 107 patients with diabetes, neuropathy, a recently healed plantar foot ulcer, and custom-made footwear, footwear use was measured during 7 consecutive days using a shoe-worn, temperature-based monitor. Daily step count was measured simultaneously using an ankle-worn activity monitor. Patients logged time away from home. Adherence was calculated as the percentage of steps that prescription footwear was worn. Determinants of adherence were evaluated in multivariate linear regression analysis.\n            \n            \n              RESULTS\n              Mean ± SD adherence was 71 ± 25%. Adherence at home was 61 ± 32%, over 3,959 ± 2,594 steps, and away from home 87 ± 26%, over 2,604 ± 2,507 steps. In 35 patients with low adherence (&amp;lt;60%), adherence at home was 28 ± 24%. Lower BMI, more severe foot deformity, and more appealing footwear were significantly associated with higher adherence.\n            \n            \n              CONCLUSIONS\n              The results show that adherence to wearing custom-made footwear is insufficient, particularly at home where patients exhibit their largest walking activity. This low adherence is a major threat for reulceration. These objective findings provide directions for improvement in adherence, which could include prescribing specific off-loading footwear for indoors, and they set a reference for future comparative research on footwear adherence in diabetes.","container-title":"Diabetes Care","DOI":"10.2337/dc12-1330","ISSN":"0149-5992, 1935-5548","issue":"6","language":"en","page":"1613-1618","source":"DOI.org (Crossref)","title":"Adherence to Wearing Prescription Custom-Made Footwear in Patients With Diabetes at High Risk for Plantar Foot Ulceration","volume":"36","author":[{"family":"Waaijman","given":"Roelof"},{"family":"Keukenkamp","given":"Renske"},{"family":"De Haart","given":"Mirjam"},{"family":"Polomski","given":"Wojtek P."},{"family":"Nollet","given":"Frans"},{"family":"Bus","given":"Sicco A."}],"issued":{"date-parts":[["2013",6,1]]}}},{"id":42,"uris":["http://zotero.org/users/19619518/items/D8ULXF23"],"itemData":{"id":42,"type":"article-journal","abstract":"Therapeutic footwear (TF) has been demonstrated to decrease the rate of recurrence in patients in remission. TF adherence determines the real effect of such treatment and, therefore, an appropriate evaluation of TF adherence is critical to decrease recurrence. The aim of this systematic review was to determine the usability of different methods of assessing adherence to TF in patients with diabetic foot ulcers under remission. The search strategy retrieved 506 articles. Title and abstract review excluded 472, while the full-text review excluded an additional 18 articles because the included data did not meet the selection criteria. Finally, we included 16 articles in this systematic review. Six (37.5%) of the 16 studies combined objective (OM) and subjective methods (SM). Only five (31.25%) evaluated OM and six (37.5%) studies only evaluated SM. Objective methods (temperature sensor, activity monitor) and subjective methods (survey, questionnaire) have successfully been used in the literature to evaluate TF adherence. Objective methods provided accurate data, whereas subjective methods led to response bias or missing data. Methods of evaluation showed that patients use the TF more frequently outdoors and on weekdays than indoors or on the weekend. In conclusion, objective methods are the most usable way to measure adherence to TF.","container-title":"The International Journal of Lower Extremity Wounds","DOI":"10.1177/15347346231190680","ISSN":"1534-7346, 1552-6941","issue":"1","journalAbbreviation":"The International Journal of Lower Extremity Wounds","language":"en","page":"55-64","source":"DOI.org (Crossref)","title":"Usability of Different Methods to Assess and Improve Adherence to Therapeutic Footwear in Persons with the Diabetic Foot in Remission. A Systematic Review","volume":"25","author":[{"family":"López-Moral","given":"Mateo"},{"family":"Molines-Barroso","given":"Raúl J."},{"family":"Herrera-Casamayor","given":"María"},{"family":"García-Madrid","given":"Marta"},{"family":"García-Morales","given":"Esther"},{"family":"Lázaro-Martínez","given":"José Luis"}],"issued":{"date-parts":[["2026",3]]}}},{"id":43,"uris":["http://zotero.org/users/19619518/items/FWKZCSUG"],"itemData":{"id":43,"type":"article-journal","container-title":"Journal of Rehabilitation Medicine","DOI":"10.2340/16501977-2759","ISSN":"1651-2081","issue":"11","journalAbbreviation":"J Rehabil Med","language":"en","page":"jrm00127","source":"DOI.org (Crossref)","title":"Effect of awareness of being monitored on wearing of orthopaedic footwear","volume":"52","author":[{"family":"Lutjeboer","given":"T"},{"family":"Netten","given":"J"},{"family":"Postema","given":"K"},{"family":"Hijmans","given":"J"}],"issued":{"date-parts":[["2020"]]}}}],"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6,12,13</w:t>
      </w:r>
      <w:r w:rsidR="00AB331B" w:rsidRPr="005F5A72">
        <w:rPr>
          <w:rFonts w:ascii="Garamond" w:hAnsi="Garamond"/>
          <w:lang w:val="en-US"/>
        </w:rPr>
        <w:fldChar w:fldCharType="end"/>
      </w:r>
    </w:p>
    <w:p w14:paraId="47B8886D" w14:textId="77777777" w:rsidR="004E57D3" w:rsidRDefault="009D64AC" w:rsidP="004E57D3">
      <w:pPr>
        <w:spacing w:after="60"/>
        <w:jc w:val="both"/>
        <w:rPr>
          <w:rFonts w:ascii="Garamond" w:hAnsi="Garamond"/>
          <w:vertAlign w:val="superscript"/>
          <w:lang w:val="en-US"/>
        </w:rPr>
      </w:pPr>
      <w:r w:rsidRPr="005F5A72">
        <w:rPr>
          <w:rFonts w:ascii="Garamond" w:hAnsi="Garamond"/>
          <w:b/>
          <w:lang w:val="en-US"/>
        </w:rPr>
        <w:t xml:space="preserve">(3) Structured education and behavioural support. </w:t>
      </w:r>
      <w:proofErr w:type="spellStart"/>
      <w:r w:rsidRPr="005F5A72">
        <w:rPr>
          <w:rFonts w:ascii="Garamond" w:hAnsi="Garamond"/>
          <w:b/>
          <w:lang w:val="en-US"/>
        </w:rPr>
      </w:r>
      <w:proofErr w:type="spellEnd"/>
      <w:r w:rsidRPr="005F5A72">
        <w:rPr>
          <w:rFonts w:ascii="Garamond" w:hAnsi="Garamond"/>
          <w:b/>
          <w:lang w:val="en-US"/>
        </w:rPr>
      </w:r>
      <w:r w:rsidR="0059462D" w:rsidRPr="0059462D">
        <w:rPr>
          <w:rFonts w:ascii="Garamond" w:hAnsi="Garamond"/>
          <w:lang w:val="en-GB"/>
        </w:rPr>
        <w:t>Education covers adequate daily foot care and the rationale for wearing the prescribed orthoses and footwear. Behavioural support, delivered through SEBIA, draws on motivational interviewing, solution-focused brief therapy and behaviour change wheel principles, among other evidence-based behavioural change methods, to identify and address individual barriers to adherence</w:t>
      </w:r>
      <w:r w:rsidRPr="005F5A72">
        <w:rPr>
          <w:rFonts w:ascii="Garamond" w:hAnsi="Garamond"/>
          <w:lang w:val="en-US"/>
        </w:rPr>
        <w:t>.</w:t>
      </w:r>
      <w:r w:rsidR="00AB331B" w:rsidRPr="005F5A72">
        <w:rPr>
          <w:rFonts w:ascii="Garamond" w:hAnsi="Garamond"/>
          <w:vertAlign w:val="superscript"/>
          <w:lang w:val="en-US"/>
        </w:rPr>
        <w:fldChar w:fldCharType="begin"/>
      </w:r>
      <w:r w:rsidR="0085599B">
        <w:rPr>
          <w:rFonts w:ascii="Garamond" w:hAnsi="Garamond"/>
          <w:vertAlign w:val="superscript"/>
          <w:lang w:val="en-US"/>
        </w:rPr>
        <w:instrText xml:space="preserve"> ADDIN ZOTERO_ITEM CSL_CITATION {"citationID":"0QQT9vJY","properties":{"unsorted":false,"formattedCitation":"\\super 9,10,14\\nosupersub{}","plainCitation":"9,10,14","noteIndex":0},"citationItems":[{"id":14,"uris":["http://zotero.org/users/19619518/items/54DKJVW9"],"itemData":{"id":14,"type":"article-journal","container-title":"Implementation Science","DOI":"10.1186/1748-5908-6-42","ISSN":"1748-5908","issue":"1","journalAbbreviation":"Implementation Sci","language":"en","license":"http://www.springer.com/tdm","page":"42","source":"DOI.org (Crossref)","title":"The behaviour change wheel: A new method for characterising and designing behaviour change interventions","title-short":"The behaviour change wheel","volume":"6","author":[{"family":"Michie","given":"Susan"},{"family":"Van Stralen","given":"Maartje M"},{"family":"West","given":"Robert"}],"issued":{"date-parts":[["2011",12]]}}},{"id":13,"uris":["http://zotero.org/users/19619518/items/ZEQZLJXL"],"itemData":{"id":13,"type":"article-journal","container-title":"Annals of Behavioral Medicine","DOI":"10.1007/s12160-013-9486-6","ISSN":"0883-6612, 1532-4796","issue":"1","journalAbbreviation":"ann. behav. med.","language":"en","page":"81-95","source":"DOI.org (Crossref)","title":"The Behavior Change Technique Taxonomy (v1) of 93 Hierarchically Clustered Techniques: Building an International Consensus for the Reporting of Behavior Change Interventions","title-short":"The Behavior Change Technique Taxonomy (v1) of 93 Hierarchically Clustered Techniques","volume":"46","author":[{"family":"Michie","given":"Susan"},{"family":"Richardson","given":"Michelle"},{"family":"Johnston","given":"Marie"},{"family":"Abraham","given":"Charles"},{"family":"Francis","given":"Jill"},{"family":"Hardeman","given":"Wendy"},{"family":"Eccles","given":"Martin P."},{"family":"Cane","given":"James"},{"family":"Wood","given":"Caroline E."}],"issued":{"date-parts":[["2013",8]]}}},{"id":41,"uris":["http://zotero.org/users/19619518/items/9CV6ZUVG"],"itemData":{"id":41,"type":"article-journal","abstract":"Abstract\n            \n              Background\n              Diabetic foot ulcers have a high impact on mobility and daily functioning and lead to high treatment costs, for example, by hospitalization and amputation. To prevent (re)ulcerations, custom-made orthopedic shoes are considered essential. However, adherence to wearing the orthopedic shoes is low, and improving adherence was not successful in the past. We propose a novel care approach that combines motivational interviewing (MI) with a digital shoe-fitting procedure to improve adherence to orthopedic shoes. The aim of this trial is to assess the (cost-)effectiveness of this novel care approach compared to usual care (no MI and casting-based shoe-fitting) in promoting footwear adherence and ulcer prevention.\n            \n            \n              Methods\n              The trial will include people with diabetes, with IWGDF Risk categories 1–3, who have been prescribed orthopedic shoes. Participants will be randomized at the level of the podiatrist to the novel care approach or usual care. The primary outcome is the proportion of participants who adhere to the use of their orthopedic shoes, that is, who take at least 80% of their total daily steps with orthopedic shoes. A temperature microsensor will be built into the participants’ orthopedic shoes to measure wearing time continuously over 12</w:instrText>
      </w:r>
      <w:r w:rsidR="0085599B">
        <w:rPr>
          <w:vertAlign w:val="superscript"/>
          <w:lang w:val="en-US"/>
        </w:rPr>
        <w:instrText> </w:instrText>
      </w:r>
      <w:r w:rsidR="0085599B">
        <w:rPr>
          <w:rFonts w:ascii="Garamond" w:hAnsi="Garamond"/>
          <w:vertAlign w:val="superscript"/>
          <w:lang w:val="en-US"/>
        </w:rPr>
        <w:instrText xml:space="preserve">months. In addition, daily activity will be measured periodically using log data with an activity monitor. Data from the temperature microsensor and activity monitor will be combined to calculate adherence. (Re-)experienced complications after receiving orthopedic shoes will be registered. Questionnaires and interviews will measure the experiences of participants regarding orthopedic shoes, experiences of podiatrists regarding motivational interviewing, care consumption, and quality of life. Differences in costs and quality of life will be determined in a cost-effectiveness analysis.\n            \n            \n              Discussion\n              This trial will generate novel insights into the socio-economic and well-being impact and the clinical effectiveness of the novel care approach on adherence to wearing orthopedic shoes.\n            \n            \n              Trial registration\n              \n                Netherlands Trial Register\n                NL7710\n                . Registered on 6 May 2019","container-title":"Trials","DOI":"10.1186/s13063-021-05680-0","ISSN":"1745-6215","issue":"1","journalAbbreviation":"Trials","language":"en","page":"750","source":"DOI.org (Crossref)","title":"Using motivational interviewing combined with digital shoe-fitting to improve adherence to wearing orthopedic shoes in people with diabetes at risk of foot ulceration: study protocol for a cluster-randomized controlled trial","title-short":"Using motivational interviewing combined with digital shoe-fitting to improve adherence to wearing orthopedic shoes in people with diabetes at risk of foot ulceration","volume":"22","author":[{"family":"Jongebloed-Westra","given":"M."},{"family":"Bode","given":"C."},{"family":"Van Netten","given":"J. J."},{"family":"Ten Klooster","given":"P. M."},{"family":"Exterkate","given":"S. H."},{"family":"Koffijberg","given":"H."},{"family":"Van Gemert-Pijnen","given":"J. E. W. C."}],"issued":{"date-parts":[["2021",12]]}}}],"schema":"https://github.com/citation-style-language/schema/raw/master/csl-citation.json"} </w:instrText>
      </w:r>
      <w:r w:rsidR="00AB331B" w:rsidRPr="005F5A72">
        <w:rPr>
          <w:rFonts w:ascii="Garamond" w:hAnsi="Garamond"/>
          <w:vertAlign w:val="superscript"/>
          <w:lang w:val="en-US"/>
        </w:rPr>
        <w:fldChar w:fldCharType="separate"/>
      </w:r>
      <w:r w:rsidR="00A275AD" w:rsidRPr="00A275AD">
        <w:rPr>
          <w:rFonts w:ascii="Garamond" w:hAnsi="Garamond"/>
          <w:vertAlign w:val="superscript"/>
          <w:lang w:val="en-GB"/>
        </w:rPr>
        <w:t>9,10,14</w:t>
      </w:r>
      <w:r w:rsidR="00AB331B" w:rsidRPr="005F5A72">
        <w:rPr>
          <w:rFonts w:ascii="Garamond" w:hAnsi="Garamond"/>
          <w:vertAlign w:val="superscript"/>
          <w:lang w:val="en-US"/>
        </w:rPr>
        <w:fldChar w:fldCharType="end"/>
      </w:r>
    </w:p>
    <w:p w14:paraId="392179EA" w14:textId="498C9D72" w:rsidR="006C1A1E" w:rsidRDefault="0059462D" w:rsidP="004E57D3">
      <w:pPr>
        <w:spacing w:after="60"/>
        <w:jc w:val="both"/>
        <w:rPr>
          <w:rFonts w:ascii="Garamond" w:hAnsi="Garamond"/>
          <w:lang w:val="en-GB"/>
        </w:rPr>
      </w:pPr>
      <w:r w:rsidRPr="0059462D">
        <w:rPr>
          <w:rFonts w:ascii="Garamond" w:hAnsi="Garamond"/>
          <w:lang w:val="en-GB"/>
        </w:rPr>
        <w:t xml:space="preserve">Plantar-pressure and adherence-monitoring technologies are validated techniques already used within participating centres; no new measurement technology will be developed. A methodological </w:t>
      </w:r>
      <w:proofErr w:type="spellStart"/>
      <w:r w:rsidRPr="0059462D">
        <w:rPr>
          <w:rFonts w:ascii="Garamond" w:hAnsi="Garamond"/>
          <w:lang w:val="en-GB"/>
        </w:rPr>
        <w:t>substudy</w:t>
      </w:r>
      <w:proofErr w:type="spellEnd"/>
      <w:r w:rsidRPr="0059462D">
        <w:rPr>
          <w:rFonts w:ascii="Garamond" w:hAnsi="Garamond"/>
          <w:lang w:val="en-GB"/>
        </w:rPr>
        <w:t xml:space="preserve"> will assess concordance between Novel</w:t>
      </w:r>
      <w:r w:rsidR="00674EEA">
        <w:rPr>
          <w:rFonts w:ascii="Garamond" w:hAnsi="Garamond"/>
          <w:lang w:val="en-GB"/>
        </w:rPr>
        <w:t xml:space="preserve">: </w:t>
      </w:r>
      <w:proofErr w:type="spellStart"/>
      <w:r w:rsidR="00D27DC8">
        <w:rPr>
          <w:rFonts w:ascii="Garamond" w:hAnsi="Garamond"/>
          <w:lang w:val="en-GB"/>
        </w:rPr>
        <w:t>Pedar</w:t>
      </w:r>
      <w:proofErr w:type="spellEnd"/>
      <w:r w:rsidRPr="0059462D">
        <w:rPr>
          <w:rFonts w:ascii="Garamond" w:hAnsi="Garamond"/>
          <w:lang w:val="en-GB"/>
        </w:rPr>
        <w:t xml:space="preserve"> and F-scan GO measurements with technical partners.</w:t>
      </w:r>
    </w:p>
    <w:p w14:paraId="59200568" w14:textId="585111B7" w:rsidR="00F273F2" w:rsidRPr="006C1A1E" w:rsidRDefault="00B377A1" w:rsidP="004E57D3">
      <w:pPr>
        <w:spacing w:after="60"/>
        <w:jc w:val="both"/>
        <w:rPr>
          <w:rFonts w:ascii="Garamond" w:hAnsi="Garamond"/>
          <w:lang w:val="en-GB"/>
        </w:rPr>
      </w:pPr>
      <w:r w:rsidRPr="005F5A72">
        <w:rPr>
          <w:rFonts w:ascii="Garamond" w:hAnsi="Garamond"/>
          <w:noProof/>
          <w:lang w:val="en-US"/>
        </w:rPr>
        <w:drawing>
          <wp:inline distT="0" distB="0" distL="0" distR="0" wp14:anchorId="319B8BE2" wp14:editId="517D8FF2">
            <wp:extent cx="5648325" cy="3189463"/>
            <wp:effectExtent l="0" t="0" r="0" b="0"/>
            <wp:docPr id="1306014982" name="Afbeeldin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2" cstate="print">
                      <a:extLst>
                        <a:ext uri="{BEBA8EAE-BF5A-486C-A8C5-ECC9F3942E4B}">
                          <a14:imgProps xmlns:a14="http://schemas.microsoft.com/office/drawing/2010/main">
                            <a14:imgLayer r:embed="rId13">
                              <a14:imgEffect>
                                <a14:saturation sat="400000"/>
                              </a14:imgEffect>
                            </a14:imgLayer>
                          </a14:imgProps>
                        </a:ext>
                        <a:ext uri="{28A0092B-C50C-407E-A947-70E740481C1C}">
                          <a14:useLocalDpi xmlns:a14="http://schemas.microsoft.com/office/drawing/2010/main" val="0"/>
                        </a:ext>
                      </a:extLst>
                    </a:blip>
                    <a:srcRect b="10074"/>
                    <a:stretch>
                      <a:fillRect/>
                    </a:stretch>
                  </pic:blipFill>
                  <pic:spPr bwMode="auto">
                    <a:xfrm>
                      <a:off x="0" y="0"/>
                      <a:ext cx="5696204" cy="3216499"/>
                    </a:xfrm>
                    <a:prstGeom prst="rect">
                      <a:avLst/>
                    </a:prstGeom>
                    <a:noFill/>
                    <a:ln>
                      <a:noFill/>
                    </a:ln>
                    <a:extLst>
                      <a:ext uri="{53640926-AAD7-44D8-BBD7-CCE9431645EC}">
                        <a14:shadowObscured xmlns:a14="http://schemas.microsoft.com/office/drawing/2010/main"/>
                      </a:ext>
                    </a:extLst>
                  </pic:spPr>
                </pic:pic>
              </a:graphicData>
            </a:graphic>
          </wp:inline>
        </w:drawing>
      </w:r>
    </w:p>
    <w:p w14:paraId="74A683EC" w14:textId="77777777" w:rsidR="003316A9" w:rsidRDefault="00A90C38" w:rsidP="003316A9">
      <w:pPr>
        <w:spacing w:after="60"/>
        <w:rPr>
          <w:rFonts w:ascii="Garamond" w:hAnsi="Garamond"/>
          <w:lang w:val="en-US"/>
        </w:rPr>
      </w:pPr>
      <w:r w:rsidRPr="005F5A72">
        <w:rPr>
          <w:rFonts w:ascii="Garamond" w:hAnsi="Garamond"/>
          <w:b/>
          <w:i/>
          <w:lang w:val="en-US"/>
        </w:rPr>
        <w:t xml:space="preserve">Figure 1. </w:t>
      </w:r>
      <w:r w:rsidRPr="005F5A72">
        <w:rPr>
          <w:rFonts w:ascii="Garamond" w:hAnsi="Garamond"/>
          <w:i/>
          <w:lang w:val="en-US"/>
        </w:rPr>
        <w:t xml:space="preserve">Design and outcome structure of the PARADISE </w:t>
      </w:r>
      <w:proofErr w:type="spellStart"/>
      <w:r w:rsidRPr="005F5A72">
        <w:rPr>
          <w:rFonts w:ascii="Garamond" w:hAnsi="Garamond"/>
          <w:i/>
          <w:lang w:val="en-US"/>
        </w:rPr>
        <w:t>multicentre</w:t>
      </w:r>
      <w:proofErr w:type="spellEnd"/>
      <w:r w:rsidRPr="005F5A72">
        <w:rPr>
          <w:rFonts w:ascii="Garamond" w:hAnsi="Garamond"/>
          <w:i/>
          <w:lang w:val="en-US"/>
        </w:rPr>
        <w:t xml:space="preserve"> </w:t>
      </w:r>
      <w:r w:rsidR="007C60C8" w:rsidRPr="005F5A72">
        <w:rPr>
          <w:rFonts w:ascii="Garamond" w:hAnsi="Garamond"/>
          <w:i/>
          <w:lang w:val="en-US"/>
        </w:rPr>
        <w:t>RCT</w:t>
      </w:r>
      <w:r w:rsidRPr="005F5A72">
        <w:rPr>
          <w:rFonts w:ascii="Garamond" w:hAnsi="Garamond"/>
          <w:i/>
          <w:lang w:val="en-US"/>
        </w:rPr>
        <w:t xml:space="preserve"> (WP1).</w:t>
      </w:r>
    </w:p>
    <w:p w14:paraId="446576DD" w14:textId="1AC0E1E3" w:rsidR="000A586A" w:rsidRPr="005F5A72" w:rsidRDefault="00B45FE1" w:rsidP="003316A9">
      <w:pPr>
        <w:spacing w:after="60"/>
        <w:rPr>
          <w:rFonts w:ascii="Garamond" w:hAnsi="Garamond"/>
          <w:lang w:val="en-US"/>
        </w:rPr>
      </w:pPr>
      <w:r w:rsidRPr="005F5A72">
        <w:rPr>
          <w:rFonts w:ascii="Garamond" w:hAnsi="Garamond"/>
          <w:b/>
          <w:lang w:val="en-US"/>
        </w:rPr>
        <w:t xml:space="preserve">Outcomes. </w:t>
      </w:r>
      <w:r w:rsidRPr="005F5A72">
        <w:rPr>
          <w:rFonts w:ascii="Garamond" w:hAnsi="Garamond"/>
          <w:lang w:val="en-US"/>
        </w:rPr>
        <w:t>PARADISE has a single primary outcome; the proposed mechanistic pathway is analysed as a pre-specified mediator rather than as a second endpoint.</w:t>
      </w:r>
    </w:p>
    <w:p w14:paraId="110355CD" w14:textId="77777777" w:rsidR="004E57D3" w:rsidRDefault="00EA2F33" w:rsidP="004E57D3">
      <w:pPr>
        <w:spacing w:after="60"/>
        <w:jc w:val="both"/>
        <w:rPr>
          <w:rFonts w:ascii="Garamond" w:hAnsi="Garamond"/>
          <w:lang w:val="en-US"/>
        </w:rPr>
      </w:pPr>
      <w:r w:rsidRPr="00EA2F33">
        <w:rPr>
          <w:rFonts w:ascii="Garamond" w:hAnsi="Garamond"/>
          <w:lang w:val="en-GB"/>
        </w:rPr>
        <w:t xml:space="preserve">The primary outcome is plantar foot-ulcer recurrence at 18 months, defined as a new plantar ulcer occurring after enrolment and reflecting </w:t>
      </w:r>
      <w:r>
        <w:rPr>
          <w:rFonts w:ascii="Garamond" w:hAnsi="Garamond"/>
          <w:lang w:val="en-GB"/>
        </w:rPr>
      </w:r>
      <w:r w:rsidRPr="00EA2F33">
        <w:rPr>
          <w:rFonts w:ascii="Garamond" w:hAnsi="Garamond"/>
          <w:lang w:val="en-GB"/>
        </w:rPr>
        <w:t>the combined impact of pressure management, prevention strategies, and footwear adherence.</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{"citationID":"xypz4jDH","properties":{"unsorted":false,"formattedCitation":"\\super 5,15\\nosupersub{}","plainCitation":"5,15","noteIndex":0},"citationItems":[{"id":48,"uris":["http://zotero.org/users/19619518/items/HQRWT4X4"],"itemData":{"id":48,"type":"article-journal","abstract":"OBJECTIVE\n              Custom-made footwear is the treatment of choice to prevent foot ulcer recurrence in diabetes. This footwear primarily aims to offload plantar regions at high ulcer risk. However, ulcer recurrence rates are high. We assessed the effect of offloading-improved custom-made footwear and the role of footwear adherence on plantar foot ulcer recurrence.\n            \n            \n              RESEARCH DESIGN AND METHODS\n              We randomly assigned 171 neuropathic diabetic patients with a recently healed plantar foot ulcer to custom-made footwear with improved and subsequently preserved offloading (</w:instrText>
      </w:r>
      <w:r w:rsidR="0085599B">
        <w:rPr>
          <w:rFonts w:ascii="Cambria Math" w:hAnsi="Cambria Math" w:cs="Cambria Math"/>
          <w:lang w:val="en-US"/>
        </w:rPr>
        <w:instrText>∼</w:instrText>
      </w:r>
      <w:r w:rsidR="0085599B">
        <w:rPr>
          <w:rFonts w:ascii="Garamond" w:hAnsi="Garamond"/>
          <w:lang w:val="en-US"/>
        </w:rPr>
        <w:instrText xml:space="preserve">20% peak pressure relief by modifying the footwear) or to usual care (i.e., nonimproved custom-made footwear). Primary outcome was plantar foot ulcer recurrence in 18 months. Secondary outcome was ulcer recurrence in patients with an objectively measured adherence of ≥80% of steps taken.\n            \n            \n              RESULTS\n              On the basis of intention-to-treat, 33 of 85 patients (38.8%) with improved footwear and 38 of 86 patients (44.2%) with usual care had a recurrent ulcer (relative risk −11%, odds ratio 0.80 [95% CI 0.44–1.47], P = 0.48). Ulcer-free survival curves were not significantly different between groups (P = 0.40). In the 79 patients (46% of total group) with high adherence, 9 of 35 (25.7%) with improved footwear and 21 of 44 (47.8%) with usual care had a recurrent ulcer (relative risk −46%, odds ratio 0.38 [0.15–0.99], P = 0.045).\n            \n            \n              CONCLUSIONS\n              Offloading-improved custom-made footwear does not significantly reduce the incidence of plantar foot ulcer recurrence in diabetes compared with custom-made footwear that does not undergo such improvement, unless it is worn as recommended.","container-title":"Diabetes Care","DOI":"10.2337/dc13-0996","ISSN":"0149-5992, 1935-5548","issue":"12","language":"en","page":"4109-4116","source":"DOI.org (Crossref)","title":"Effect of Custom-Made Footwear on Foot Ulcer Recurrence in Diabetes","volume":"36","author":[{"family":"Bus","given":"Sicco A."},{"family":"Waaijman","given":"Roelof"},{"family":"Arts","given":"Mark"},{"family":"De Haart","given":"Mirjam"},{"family":"Busch-Westbroek","given":"Tessa"},{"family":"Van Baal","given":"Jeff"},{"family":"Nollet","given":"Frans"}],"issued":{"date-parts":[["2013",12,1]]}}},{"id":49,"uris":["http://zotero.org/users/19619518/items/3AML47RQ"],"itemData":{"id":49,"type":"article-journal","abstract":"Abstract\n            \n              Background\n              Preventing foot ulcers in people with diabetes can increase quality of life and reduce costs. Despite the availability of various interventions to prevent foot ulcers, recurrence rates remain high. We hypothesize that a multimodal treatment approach incorporating various footwear, self-management, and education interventions that matches an individual person’s needs can reduce the risk of ulcer recurrence with beneficial cost-utility. The aim of this study is to assess the effect on foot ulcer recurrence, footwear adherence, and cost-utility of an integrated personalized assistive devices approach in high-risk people with diabetes.\n            \n            \n              Methods\n              In a parallel-group multicenter randomized controlled trial, 126 adult participants with diabetes mellitus type 1 or 2, loss of protective sensation based on the presence of peripheral neuropathy, a healed plantar foot ulcer in the preceding 4 years, and possession of any type of custom-made footwear will be included. Participants will be randomly assigned to either enhanced therapy or usual care. Enhanced therapy consists of usual care and additionally a personalized treatment approach including pressure-optimized custom-made footwear, pressure-optimized custom-made footwear for indoor use, at-home daily foot temperature monitoring, and structured education, which includes motivational interviewing and personalized feedback on adherence and self-care. Participants will be followed for 12 months. Assessments include barefoot and in-shoe plantar pressure measurements; questionnaires concerning quality of life, costs, disease, and self-care knowledge; physical activity and footwear use monitoring; and clinical monitoring for foot ulcer outcomes. The study is powered for 3 primary outcomes: foot ulcer recurrence, footwear adherence, and cost-utility, the primary clinical, patient-related, and health-economic outcome respectively.\n            \n            \n              Discussion\n              This is the first study to integrate multiple interventions for ulcer prevention into a personalized state-of-the-art treatment approach and assess their combined efficacy in a randomized controlled trial in people with diabetes at high ulcer risk. Proven effectiveness, usability, and cost-utility will facilitate implementation in healthcare, improve the quality of life of high-risk people with diabetes, and reduce treatment costs.\n            \n            \n              Trial registration\n              ClinicalTrials.gov NCT05236660. Registered on 11 February 2022.","container-title":"Trials","DOI":"10.1186/s13063-023-07635-z","ISSN":"1745-6215","issue":"1","journalAbbreviation":"Trials","language":"en","page":"663","source":"DOI.org (Crossref)","title":"An integrated personalized assistive devices approach to reduce the risk of foot ulcer recurrence in diabetes (DIASSIST): study protocol for a multicenter randomized controlled trial","title-short":"An integrated personalized assistive devices approach to reduce the risk of foot ulcer recurrence in diabetes (DIASSIST)","volume":"24","author":[{"family":"Vossen","given":"Lisa E."},{"family":"Van Netten","given":"Jaap J."},{"family":"Bakker","given":"Chantal D."},{"family":"Berendsen","given":"Heleen A."},{"family":"Busch-Westbroek","given":"Tessa E."},{"family":"Peters","given":"Edgar J. G."},{"family":"Sabelis","given":"Louise W. E."},{"family":"Dijkgraaf","given":"Marcel G. W."},{"family":"Bus","given":"Sicco A."}],"issued":{"date-parts":[["2023",10,12]]}}}],"schema":"https://github.com/citation-style-language/schema/raw/master/csl-citation.json"}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5,15</w:t>
      </w:r>
      <w:r w:rsidR="00AB331B" w:rsidRPr="005F5A72">
        <w:rPr>
          <w:rFonts w:ascii="Garamond" w:hAnsi="Garamond"/>
          <w:lang w:val="en-US"/>
        </w:rPr>
        <w:fldChar w:fldCharType="end"/>
      </w:r>
      <w:r w:rsidR="00A9620E" w:rsidRPr="005F5A72">
        <w:rPr>
          <w:rFonts w:ascii="Garamond" w:hAnsi="Garamond"/>
          <w:lang w:val="en-US"/>
        </w:rPr>
        <w:t xml:space="preserve"> </w:t>
      </w:r>
      <w:r w:rsidR="00A25970" w:rsidRPr="00A25970">
        <w:rPr>
          <w:rFonts w:ascii="Garamond" w:hAnsi="Garamond"/>
          <w:lang w:val="en-GB"/>
        </w:rPr>
        <w:t>Objectively measured footwear adherence is the pre-specified mediator, quantified as the proportion of ambulatory activity performed while wearing the prescribed footwear relative to the clinically relevant ≥80% threshold, and analysed at 12 months with the full 18-month profile reported as a secondary summary.</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{"citationID":"yNaMmMq2","properties":{"unsorted":false,"formattedCitation":"\\super 6,7\\nosupersub{}","plainCitation":"6,7","noteIndex":0},"citationItems":[{"id":16,"uris":["http://zotero.org/users/19619518/items/PZIVAKCP"],"itemData":{"id":16,"type":"article-journal","abstract":"OBJECTIVE\n              Prescription custom-made footwear can only be effective in preventing diabetic foot ulcers if worn by the patient. Particularly, the high prevalence of recurrent foot ulcers focuses the attention on adherence, for which objective data are nonexisting. We objectively assessed adherence in patients with high risk of ulcer recurrence and evaluated what determines adherence.\n            \n            \n              RESEARCH DESIGN AND METHODS\n              In 107 patients with diabetes, neuropathy, a recently healed plantar foot ulcer, and custom-made footwear, footwear use was measured during 7 consecutive days using a shoe-worn, temperature-based monitor. Daily step count was measured simultaneously using an ankle-worn activity monitor. Patients logged time away from home. Adherence was calculated as the percentage of steps that prescription footwear was worn. Determinants of adherence were evaluated in multivariate linear regression analysis.\n            \n            \n              RESULTS\n              Mean ± SD adherence was 71 ± 25%. Adherence at home was 61 ± 32%, over 3,959 ± 2,594 steps, and away from home 87 ± 26%, over 2,604 ± 2,507 steps. In 35 patients with low adherence (&amp;lt;60%), adherence at home was 28 ± 24%. Lower BMI, more severe foot deformity, and more appealing footwear were significantly associated with higher adherence.\n            \n            \n              CONCLUSIONS\n              The results show that adherence to wearing custom-made footwear is insufficient, particularly at home where patients exhibit their largest walking activity. This low adherence is a major threat for reulceration. These objective findings provide directions for improvement in adherence, which could include prescribing specific off-loading footwear for indoors, and they set a reference for future comparative research on footwear adherence in diabetes.","container-title":"Diabetes Care","DOI":"10.2337/dc12-1330","ISSN":"0149-5992, 1935-5548","issue":"6","language":"en","page":"1613-1618","source":"DOI.org (Crossref)","title":"Adherence to Wearing Prescription Custom-Made Footwear in Patients With Diabetes at High Risk for Plantar Foot Ulceration","volume":"36","author":[{"family":"Waaijman","given":"Roelof"},{"family":"Keukenkamp","given":"Renske"},{"family":"De Haart","given":"Mirjam"},{"family":"Polomski","given":"Wojtek P."},{"family":"Nollet","given":"Frans"},{"family":"Bus","given":"Sicco A."}],"issued":{"date-parts":[["2013",6,1]]}}},{"id":56,"uris":["http://zotero.org/users/19619518/items/6DZPFUHJ"],"itemData":{"id":56,"type":"article-journal","abstract":"Abstract\n            \n              Background\n              Orthopaedic footwear can only be effective in preventing diabetic foot ulcers if worn by the patient. Robust data on long</w:instrText>
      </w:r>
      <w:r w:rsidR="0085599B">
        <w:rPr>
          <w:rFonts w:ascii="Cambria Math" w:hAnsi="Cambria Math" w:cs="Cambria Math"/>
          <w:lang w:val="en-US"/>
        </w:rPr>
        <w:instrText>‐</w:instrText>
      </w:r>
      <w:r w:rsidR="0085599B">
        <w:rPr>
          <w:rFonts w:ascii="Garamond" w:hAnsi="Garamond"/>
          <w:lang w:val="en-US"/>
        </w:rPr>
        <w:instrText>term wearing time of orthopaedic footwear are not available, and needed to gain more insights into wearing patterns and associated factors (i.e. participants' demographic, disease</w:instrText>
      </w:r>
      <w:r w:rsidR="0085599B">
        <w:rPr>
          <w:rFonts w:ascii="Cambria Math" w:hAnsi="Cambria Math" w:cs="Cambria Math"/>
          <w:lang w:val="en-US"/>
        </w:rPr>
        <w:instrText>‐</w:instrText>
      </w:r>
      <w:r w:rsidR="0085599B">
        <w:rPr>
          <w:rFonts w:ascii="Garamond" w:hAnsi="Garamond"/>
          <w:lang w:val="en-US"/>
        </w:rPr>
        <w:instrText>related characteristics, and footwear usability). We aimed to objectively assess long</w:instrText>
      </w:r>
      <w:r w:rsidR="0085599B">
        <w:rPr>
          <w:rFonts w:ascii="Cambria Math" w:hAnsi="Cambria Math" w:cs="Cambria Math"/>
          <w:lang w:val="en-US"/>
        </w:rPr>
        <w:instrText>‐</w:instrText>
      </w:r>
      <w:r w:rsidR="0085599B">
        <w:rPr>
          <w:rFonts w:ascii="Garamond" w:hAnsi="Garamond"/>
          <w:lang w:val="en-US"/>
        </w:rPr>
        <w:instrText>term wearing patterns and identify factors associated with wearing orthopaedic footwear in people with diabetes at moderate</w:instrText>
      </w:r>
      <w:r w:rsidR="0085599B">
        <w:rPr>
          <w:rFonts w:ascii="Cambria Math" w:hAnsi="Cambria Math" w:cs="Cambria Math"/>
          <w:lang w:val="en-US"/>
        </w:rPr>
        <w:instrText>‐</w:instrText>
      </w:r>
      <w:r w:rsidR="0085599B">
        <w:rPr>
          <w:rFonts w:ascii="Garamond" w:hAnsi="Garamond"/>
          <w:lang w:val="en-US"/>
        </w:rPr>
        <w:instrText>to</w:instrText>
      </w:r>
      <w:r w:rsidR="0085599B">
        <w:rPr>
          <w:rFonts w:ascii="Cambria Math" w:hAnsi="Cambria Math" w:cs="Cambria Math"/>
          <w:lang w:val="en-US"/>
        </w:rPr>
        <w:instrText>‐</w:instrText>
      </w:r>
      <w:r w:rsidR="0085599B">
        <w:rPr>
          <w:rFonts w:ascii="Garamond" w:hAnsi="Garamond"/>
          <w:lang w:val="en-US"/>
        </w:rPr>
        <w:instrText>high risk of ulceration.\n            \n            \n              Methods\n              People diagnosed with diabetes mellitus type 1 and 2 with loss of protective sensation and/or peripheral artery disease and prescribed with orthopaedic footwear were included and followed for 12 months. The primary outcome was mean daily wearing time, continuously measured using a temperature sensor inside the footwear (Orthotimer®). Adherence to wearing orthopaedic footwear was calculated as percentage of wearing time of a total assumed 16 h out</w:instrText>
      </w:r>
      <w:r w:rsidR="0085599B">
        <w:rPr>
          <w:rFonts w:ascii="Cambria Math" w:hAnsi="Cambria Math" w:cs="Cambria Math"/>
          <w:lang w:val="en-US"/>
        </w:rPr>
        <w:instrText>‐</w:instrText>
      </w:r>
      <w:r w:rsidR="0085599B">
        <w:rPr>
          <w:rFonts w:ascii="Garamond" w:hAnsi="Garamond"/>
          <w:lang w:val="en-US"/>
        </w:rPr>
        <w:instrText>of</w:instrText>
      </w:r>
      <w:r w:rsidR="0085599B">
        <w:rPr>
          <w:rFonts w:ascii="Cambria Math" w:hAnsi="Cambria Math" w:cs="Cambria Math"/>
          <w:lang w:val="en-US"/>
        </w:rPr>
        <w:instrText>‐</w:instrText>
      </w:r>
      <w:r w:rsidR="0085599B">
        <w:rPr>
          <w:rFonts w:ascii="Garamond" w:hAnsi="Garamond"/>
          <w:lang w:val="en-US"/>
        </w:rPr>
        <w:instrText>bed daytime, where adherence</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60% was a pre</w:instrText>
      </w:r>
      <w:r w:rsidR="0085599B">
        <w:rPr>
          <w:rFonts w:ascii="Cambria Math" w:hAnsi="Cambria Math" w:cs="Cambria Math"/>
          <w:lang w:val="en-US"/>
        </w:rPr>
        <w:instrText>‐</w:instrText>
      </w:r>
      <w:r w:rsidR="0085599B">
        <w:rPr>
          <w:rFonts w:ascii="Garamond" w:hAnsi="Garamond"/>
          <w:lang w:val="en-US"/>
        </w:rPr>
        <w:instrText>determined non</w:instrText>
      </w:r>
      <w:r w:rsidR="0085599B">
        <w:rPr>
          <w:rFonts w:ascii="Cambria Math" w:hAnsi="Cambria Math" w:cs="Cambria Math"/>
          <w:lang w:val="en-US"/>
        </w:rPr>
        <w:instrText>‐</w:instrText>
      </w:r>
      <w:r w:rsidR="0085599B">
        <w:rPr>
          <w:rFonts w:ascii="Garamond" w:hAnsi="Garamond"/>
          <w:lang w:val="en-US"/>
        </w:rPr>
        <w:instrText>adherent threshold. Wearing time patterns were assessed by calculating participants' wearing (in)consistency. One</w:instrText>
      </w:r>
      <w:r w:rsidR="0085599B">
        <w:rPr>
          <w:rFonts w:ascii="Cambria Math" w:hAnsi="Cambria Math" w:cs="Cambria Math"/>
          <w:lang w:val="en-US"/>
        </w:rPr>
        <w:instrText>‐</w:instrText>
      </w:r>
      <w:r w:rsidR="0085599B">
        <w:rPr>
          <w:rFonts w:ascii="Garamond" w:hAnsi="Garamond"/>
          <w:lang w:val="en-US"/>
        </w:rPr>
        <w:instrText xml:space="preserve">way analyses of variance tested for wearing time differences between subgroups, weekdays, and weekend days. Factors potentially associated with wearing time were collected by questionnaires and medical files. Univariately associated factors were included in multivariate linear regression analysis.\n            \n            \n              Results\n              \n                Sixty one participants were included (mean (SD) age: 68.0 (7.4) years; females:\n                n\n                </w:instrText>
      </w:r>
      <w:r w:rsidR="0085599B">
        <w:rPr>
          <w:lang w:val="en-US"/>
        </w:rPr>
        <w:instrText> </w:instrText>
      </w:r>
      <w:r w:rsidR="0085599B">
        <w:rPr>
          <w:rFonts w:ascii="Garamond" w:hAnsi="Garamond"/>
          <w:lang w:val="en-US"/>
        </w:rPr>
        <w:instrText>=</w:instrText>
      </w:r>
      <w:r w:rsidR="0085599B">
        <w:rPr>
          <w:lang w:val="en-US"/>
        </w:rPr>
        <w:instrText> </w:instrText>
      </w:r>
      <w:r w:rsidR="0085599B">
        <w:rPr>
          <w:rFonts w:ascii="Garamond" w:hAnsi="Garamond"/>
          <w:lang w:val="en-US"/>
        </w:rPr>
        <w:instrText xml:space="preserve">17; type 2 diabetes mellitus:\n                n\n                </w:instrText>
      </w:r>
      <w:r w:rsidR="0085599B">
        <w:rPr>
          <w:lang w:val="en-US"/>
        </w:rPr>
        <w:instrText> </w:instrText>
      </w:r>
      <w:r w:rsidR="0085599B">
        <w:rPr>
          <w:rFonts w:ascii="Garamond" w:hAnsi="Garamond"/>
          <w:lang w:val="en-US"/>
        </w:rPr>
        <w:instrText>=</w:instrText>
      </w:r>
      <w:r w:rsidR="0085599B">
        <w:rPr>
          <w:lang w:val="en-US"/>
        </w:rPr>
        <w:instrText> </w:instrText>
      </w:r>
      <w:r w:rsidR="0085599B">
        <w:rPr>
          <w:rFonts w:ascii="Garamond" w:hAnsi="Garamond"/>
          <w:lang w:val="en-US"/>
        </w:rPr>
        <w:instrText>54). Mean (SD) overall daily wearing time was 8.3 (6.1) hours/day. A total of 40 (66%) participants were non</w:instrText>
      </w:r>
      <w:r w:rsidR="0085599B">
        <w:rPr>
          <w:rFonts w:ascii="Cambria Math" w:hAnsi="Cambria Math" w:cs="Cambria Math"/>
          <w:lang w:val="en-US"/>
        </w:rPr>
        <w:instrText>‐</w:instrText>
      </w:r>
      <w:r w:rsidR="0085599B">
        <w:rPr>
          <w:rFonts w:ascii="Garamond" w:hAnsi="Garamond"/>
          <w:lang w:val="en-US"/>
        </w:rPr>
        <w:instrText xml:space="preserve">adherent. Participants with a consistent wearing pattern showed higher daily wearing times than participants with an inconsistent pattern. Mean (SD) wearing times were 12.7 (4.3) vs 3.6 (4.8) hours/day, respectively (\n                P\n                </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 xml:space="preserve">0.001). Mean (SD) wearing time was significantly higher (\n                P\n                </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 xml:space="preserve">0.010) during weekdays (8.7 (6.0) hours/day) compared to Saturday (8.0 (6.1) hours/day) and Sunday (6.9 (6.2) hours/day). In the multivariate model (R\n                2\n                </w:instrText>
      </w:r>
      <w:r w:rsidR="0085599B">
        <w:rPr>
          <w:lang w:val="en-US"/>
        </w:rPr>
        <w:instrText> </w:instrText>
      </w:r>
      <w:r w:rsidR="0085599B">
        <w:rPr>
          <w:rFonts w:ascii="Garamond" w:hAnsi="Garamond"/>
          <w:lang w:val="en-US"/>
        </w:rPr>
        <w:instrText>=</w:instrText>
      </w:r>
      <w:r w:rsidR="0085599B">
        <w:rPr>
          <w:lang w:val="en-US"/>
        </w:rPr>
        <w:instrText> </w:instrText>
      </w:r>
      <w:r w:rsidR="0085599B">
        <w:rPr>
          <w:rFonts w:ascii="Garamond" w:hAnsi="Garamond"/>
          <w:lang w:val="en-US"/>
        </w:rPr>
        <w:instrText xml:space="preserve">0.28), </w:instrText>
      </w:r>
      <w:r w:rsidR="0085599B">
        <w:rPr>
          <w:rFonts w:ascii="Garamond" w:hAnsi="Garamond" w:cs="Garamond"/>
          <w:lang w:val="en-US"/>
        </w:rPr>
        <w:instrText>“</w:instrText>
      </w:r>
      <w:r w:rsidR="0085599B">
        <w:rPr>
          <w:rFonts w:ascii="Garamond" w:hAnsi="Garamond"/>
          <w:lang w:val="en-US"/>
        </w:rPr>
        <w:instrText>satisfaction with my wear of orthopaedic footwear</w:instrText>
      </w:r>
      <w:r w:rsidR="0085599B">
        <w:rPr>
          <w:rFonts w:ascii="Garamond" w:hAnsi="Garamond" w:cs="Garamond"/>
          <w:lang w:val="en-US"/>
        </w:rPr>
        <w:instrText>”</w:instrText>
      </w:r>
      <w:r w:rsidR="0085599B">
        <w:rPr>
          <w:rFonts w:ascii="Garamond" w:hAnsi="Garamond"/>
          <w:lang w:val="en-US"/>
        </w:rPr>
        <w:instrText xml:space="preserve"> was positively associated (\n                P\n                </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0.001) with wearing time. The other seven multivariate model factors (four demographic variables and three footwear usability variables) were not associated with wearing time.\n              \n            \n            \n              Conclusions\n              Only one out of three people at moderate to high risk of foot ulceration were sufficiently adherent to wearing their orthopaedic footwear. Changing people's wearing behaviour to a more stable pattern seems a potential avenue to improve long</w:instrText>
      </w:r>
      <w:r w:rsidR="0085599B">
        <w:rPr>
          <w:rFonts w:ascii="Cambria Math" w:hAnsi="Cambria Math" w:cs="Cambria Math"/>
          <w:lang w:val="en-US"/>
        </w:rPr>
        <w:instrText>‐</w:instrText>
      </w:r>
      <w:r w:rsidR="0085599B">
        <w:rPr>
          <w:rFonts w:ascii="Garamond" w:hAnsi="Garamond"/>
          <w:lang w:val="en-US"/>
        </w:rPr>
        <w:instrText>term adherence to wearing orthopaedic footwear. Investigated factors are not associated with daily wearing time. Based on these factors the daily wearing time cannot be estimated in daily practice.\n            \n            \n              Trial registration\n              Netherlands Trial Register NL7710. Registered: 6 May 2019.","container-title":"Journal of Foot and Ankle Research","DOI":"10.1186/s13047-023-00656-6","ISSN":"1757-1146, 1757-1146","issue":"1","journalAbbreviation":"Journal of Foot and Ankle Research","language":"en","license":"http://creativecommons.org/licenses/by/4.0/","page":"60","source":"DOI.org (Crossref)","title":"Objectively assessed long</w:instrText>
      </w:r>
      <w:r w:rsidR="0085599B">
        <w:rPr>
          <w:rFonts w:ascii="Cambria Math" w:hAnsi="Cambria Math" w:cs="Cambria Math"/>
          <w:lang w:val="en-US"/>
        </w:rPr>
        <w:instrText>‐</w:instrText>
      </w:r>
      <w:r w:rsidR="0085599B">
        <w:rPr>
          <w:rFonts w:ascii="Garamond" w:hAnsi="Garamond"/>
          <w:lang w:val="en-US"/>
        </w:rPr>
        <w:instrText>term wearing patterns and predictors of wearing orthopaedic footwear in people with diabetes at moderate</w:instrText>
      </w:r>
      <w:r w:rsidR="0085599B">
        <w:rPr>
          <w:rFonts w:ascii="Cambria Math" w:hAnsi="Cambria Math" w:cs="Cambria Math"/>
          <w:lang w:val="en-US"/>
        </w:rPr>
        <w:instrText>‐</w:instrText>
      </w:r>
      <w:r w:rsidR="0085599B">
        <w:rPr>
          <w:rFonts w:ascii="Garamond" w:hAnsi="Garamond"/>
          <w:lang w:val="en-US"/>
        </w:rPr>
        <w:instrText>to</w:instrText>
      </w:r>
      <w:r w:rsidR="0085599B">
        <w:rPr>
          <w:rFonts w:ascii="Cambria Math" w:hAnsi="Cambria Math" w:cs="Cambria Math"/>
          <w:lang w:val="en-US"/>
        </w:rPr>
        <w:instrText>‐</w:instrText>
      </w:r>
      <w:r w:rsidR="0085599B">
        <w:rPr>
          <w:rFonts w:ascii="Garamond" w:hAnsi="Garamond"/>
          <w:lang w:val="en-US"/>
        </w:rPr>
        <w:instrText>high risk of foot ulceration: a 12 months observational study","title-short":"Objectively assessed long</w:instrText>
      </w:r>
      <w:r w:rsidR="0085599B">
        <w:rPr>
          <w:rFonts w:ascii="Cambria Math" w:hAnsi="Cambria Math" w:cs="Cambria Math"/>
          <w:lang w:val="en-US"/>
        </w:rPr>
        <w:instrText>‐</w:instrText>
      </w:r>
      <w:r w:rsidR="0085599B">
        <w:rPr>
          <w:rFonts w:ascii="Garamond" w:hAnsi="Garamond"/>
          <w:lang w:val="en-US"/>
        </w:rPr>
        <w:instrText>term wearing patterns and predictors of wearing orthopaedic footwear in people with diabetes at moderate</w:instrText>
      </w:r>
      <w:r w:rsidR="0085599B">
        <w:rPr>
          <w:rFonts w:ascii="Cambria Math" w:hAnsi="Cambria Math" w:cs="Cambria Math"/>
          <w:lang w:val="en-US"/>
        </w:rPr>
        <w:instrText>‐</w:instrText>
      </w:r>
      <w:r w:rsidR="0085599B">
        <w:rPr>
          <w:rFonts w:ascii="Garamond" w:hAnsi="Garamond"/>
          <w:lang w:val="en-US"/>
        </w:rPr>
        <w:instrText>to</w:instrText>
      </w:r>
      <w:r w:rsidR="0085599B">
        <w:rPr>
          <w:rFonts w:ascii="Cambria Math" w:hAnsi="Cambria Math" w:cs="Cambria Math"/>
          <w:lang w:val="en-US"/>
        </w:rPr>
        <w:instrText>‐</w:instrText>
      </w:r>
      <w:r w:rsidR="0085599B">
        <w:rPr>
          <w:rFonts w:ascii="Garamond" w:hAnsi="Garamond"/>
          <w:lang w:val="en-US"/>
        </w:rPr>
        <w:instrText>high risk of foot ulceration","volume":"16","author":[{"family":"Exterkate","given":"Stein H."},{"family":"Jongebloed</w:instrText>
      </w:r>
      <w:r w:rsidR="0085599B">
        <w:rPr>
          <w:rFonts w:ascii="Cambria Math" w:hAnsi="Cambria Math" w:cs="Cambria Math"/>
          <w:lang w:val="en-US"/>
        </w:rPr>
        <w:instrText>‐</w:instrText>
      </w:r>
      <w:r w:rsidR="0085599B">
        <w:rPr>
          <w:rFonts w:ascii="Garamond" w:hAnsi="Garamond"/>
          <w:lang w:val="en-US"/>
        </w:rPr>
        <w:instrText>Westra","given":"Manon"},{"family":"Ten Klooster","given":"Peter M."},{"family":"Koffijberg","given":"Hendrik"},{"family":"Bode","given":"Christina"},{"family":"Van Gemert</w:instrText>
      </w:r>
      <w:r w:rsidR="0085599B">
        <w:rPr>
          <w:rFonts w:ascii="Cambria Math" w:hAnsi="Cambria Math" w:cs="Cambria Math"/>
          <w:lang w:val="en-US"/>
        </w:rPr>
        <w:instrText>‐</w:instrText>
      </w:r>
      <w:r w:rsidR="0085599B">
        <w:rPr>
          <w:rFonts w:ascii="Garamond" w:hAnsi="Garamond"/>
          <w:lang w:val="en-US"/>
        </w:rPr>
        <w:instrText xml:space="preserve">Pijnen","given":"Julia E. W. C."},{"family":"Van Baal","given":"Josephus G."},{"family":"Van Netten","given":"Jaap J."}],"issued":{"date-parts":[["2023",1]]}}}],"schema":"https://github.com/citation-style-language/schema/raw/master/csl-citation.json"}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6,7</w:t>
      </w:r>
      <w:r w:rsidR="00AB331B" w:rsidRPr="005F5A72">
        <w:rPr>
          <w:rFonts w:ascii="Garamond" w:hAnsi="Garamond"/>
          <w:lang w:val="en-US"/>
        </w:rPr>
        <w:fldChar w:fldCharType="end"/>
      </w:r>
      <w:r w:rsidR="006913A7" w:rsidRPr="005F5A72">
        <w:rPr>
          <w:rFonts w:ascii="Garamond" w:hAnsi="Garamond"/>
          <w:lang w:val="en-US"/>
        </w:rPr>
        <w:t xml:space="preserve"> </w:t>
      </w:r>
      <w:r w:rsidR="00A25970" w:rsidRPr="00A25970">
        <w:rPr>
          <w:rFonts w:ascii="Garamond" w:hAnsi="Garamond"/>
          <w:lang w:val="en-GB"/>
        </w:rPr>
        <w:t>Exploratory analyses will compare indoor and outdoor footwear use,</w:t>
      </w:r>
      <w:r w:rsidR="00462EA7">
        <w:rPr>
          <w:rFonts w:ascii="Garamond" w:hAnsi="Garamond"/>
          <w:lang w:val="en-GB"/>
        </w:rPr>
        <w:t xml:space="preserve"> </w:t>
      </w:r>
      <w:r w:rsidR="00A25970" w:rsidRPr="00A25970">
        <w:rPr>
          <w:rFonts w:ascii="Garamond" w:hAnsi="Garamond"/>
          <w:lang w:val="en-GB"/>
        </w:rPr>
        <w:t>as indoor behaviour influences overall adherence.</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{"citationID":"gQfrccVc","properties":{"unsorted":false,"formattedCitation":"\\super 11\\nosupersub{}","plainCitation":"11","noteIndex":0},"citationItems":[{"id":52,"uris":["http://zotero.org/users/19619518/items/NSK33Z7U"],"itemData":{"id":52,"type":"article-journal","abstract":"Background: Wearing custom-made footwear is key in diabetes-related foot ulcer prevention. However, adhering to wearing footwear is challenging, in particular at home. Evidence-based interventions with proven effect are needed, but scarce. We developed a multi-modal intervention to improve custom-made footwear use, and investigated short-term efficacy. Methods: We used a multidisciplinary multiphase approach to develop a three-modality intervention: structured education, motivational interviewing, and custom-made indoor footwear. To assess efficacy, we measured mean 2-week wearing time of custom-made footwear with a validated sensor, at baseline and after three months (primary outcome), and in the two weeks directly before and after each modality was administered (secondary outcomes). We assessed differences between timepoints using within-subjects paired t-tests. Results: 53 participants with high risk for ulceration were included: 30 with low [&lt;8 h/day] baseline adherence), 17% females, mean age 66 (SD: 10) years, all with peripheral neuropathy and a recent foot ulcer (mean time since healing: 6 (SD: 9) months). Wearing time increased non-significantly from 4.0 (SD: 2.5) at baseline to 5.5 (SD: 4.3) after three months in the low adherence group (p = 0.068); this was 11.9 (SD: 2.3) to 12.0 (SD: 2.8) in the high adherence group (p = 0.898). Following provision of indoor footwear, wearing time increased significantly for low baseline adherence (∆2.7 h/day (95% CI: 1.0–4.4; p = 0.004) and high baseline adherence (∆2.0 h/day (95% CI: 0.5–3.4; p = 0.010). Following structured education, wearing time increased non-significantly in those with low baseline adherence (∆1.0 h/day (95% CI: −0.2–2.2; p = 0.098). Following motivational interviewing, wearing time remained similar in both groups. Conclusions: The multi-modal intervention program combining structured education, motivational interviewing and custom-made indoor footwear did not result in a statistically significant improvement in the wearing time of custom-made footwear after three months. However, significant improvements followed the provision of indoor footwear, and clinically relevant improvements followed structured education in people with low adherence, providing avenues for implementation and research.","container-title":"Journal of Clinical Medicine","DOI":"10.3390/jcm14113635","ISSN":"2077-0383","issue":"11","journalAbbreviation":"JCM","language":"en","page":"3635","source":"DOI.org (Crossref)","title":"Short-Term Efficacy of a Multi-Modal Intervention Program to Improve Custom-Made Footwear Use in People at High Risk of Diabetes-Related Foot Ulceration","volume":"14","author":[{"family":"Van Netten","given":"Jaap J."},{"family":"Vossen","given":"Lisa E."},{"family":"Driebergen","given":"Faye M."},{"family":"Wolthuis","given":"Danne"},{"family":"Merkx","given":"Maarten J. M."},{"family":"Bus","given":"Sicco A."}],"issued":{"date-parts":[["2025",5,22]]}}}],"schema":"https://github.com/citation-style-language/schema/raw/master/csl-citation.json"}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11</w:t>
      </w:r>
      <w:r w:rsidR="00AB331B" w:rsidRPr="005F5A72">
        <w:rPr>
          <w:rFonts w:ascii="Garamond" w:hAnsi="Garamond"/>
          <w:lang w:val="en-US"/>
        </w:rPr>
        <w:fldChar w:fldCharType="end"/>
      </w:r>
    </w:p>
    <w:p w14:paraId="479F9057" w14:textId="31D74123" w:rsidR="004E57D3" w:rsidRDefault="007760C2" w:rsidP="004E57D3">
      <w:pPr>
        <w:spacing w:after="60"/>
        <w:jc w:val="both"/>
        <w:rPr>
          <w:rFonts w:ascii="Garamond" w:hAnsi="Garamond"/>
          <w:lang w:val="en-US"/>
        </w:rPr>
      </w:pPr>
      <w:r w:rsidRPr="007760C2">
        <w:rPr>
          <w:rFonts w:ascii="Garamond" w:hAnsi="Garamond"/>
          <w:lang w:val="en-GB"/>
        </w:rPr>
        <w:t>Secondary outcomes comprise ulcer-free survival, recurrence characteristics, plantar-pressure change at 6, 12, and 18 months, foot-care behaviour (NAFF), objectively measured adherence over the full 18 months, self-reported adherence (7-day recall), health-related quality of life (EQ-5D-5L), and healthcare resource utilisation.</w:t>
      </w:r>
    </w:p>
    <w:p w14:paraId="32DC7A74" w14:textId="2843AF0F" w:rsidR="001675B0" w:rsidRPr="005F5A72" w:rsidRDefault="00B45FE1" w:rsidP="004E57D3">
      <w:pPr>
        <w:spacing w:after="60"/>
        <w:jc w:val="both"/>
        <w:rPr>
          <w:rFonts w:ascii="Garamond" w:hAnsi="Garamond"/>
          <w:lang w:val="en-US"/>
        </w:rPr>
      </w:pPr>
      <w:r w:rsidRPr="005F5A72">
        <w:rPr>
          <w:rFonts w:ascii="Garamond" w:hAnsi="Garamond"/>
          <w:b/>
          <w:lang w:val="en-US"/>
        </w:rPr>
        <w:t xml:space="preserve">Sample size and statistics. </w:t>
      </w:r>
      <w:r w:rsidR="00882E24" w:rsidRPr="00882E24">
        <w:rPr>
          <w:rFonts w:ascii="Garamond" w:hAnsi="Garamond"/>
          <w:lang w:val="en-GB"/>
        </w:rPr>
        <w:t xml:space="preserve">The trial is powered at 80% with a two-sided </w:t>
      </w:r>
      <w:r w:rsidR="00882E24" w:rsidRPr="00882E24">
        <w:rPr>
          <w:rFonts w:ascii="Garamond" w:hAnsi="Garamond"/>
        </w:rPr>
        <w:t>α</w:t>
      </w:r>
      <w:r w:rsidR="00882E24" w:rsidRPr="00882E24">
        <w:rPr>
          <w:rFonts w:ascii="Garamond" w:hAnsi="Garamond"/>
          <w:lang w:val="en-GB"/>
        </w:rPr>
        <w:t xml:space="preserve"> of 0.05 for the single primary outcome, so no multiplicity correction is required. Assuming a reduction in 18-month ulcer recurrence from 50% to 25%, informed by prior footwear and offloading studies</w:t>
      </w:r>
      <w:r w:rsidR="001675B0" w:rsidRPr="005F5A72">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{"citationID":"PDbwHQXM","properties":{"unsorted":false,"formattedCitation":"\\super 5\\nosupersub{}","plainCitation":"5","noteIndex":0},"citationItems":[{"id":48,"uris":["http://zotero.org/users/19619518/items/HQRWT4X4"],"itemData":{"id":48,"type":"article-journal","abstract":"OBJECTIVE\n              Custom-made footwear is the treatment of choice to prevent foot ulcer recurrence in diabetes. This footwear primarily aims to offload plantar regions at high ulcer risk. However, ulcer recurrence rates are high. We assessed the effect of offloading-improved custom-made footwear and the role of footwear adherence on plantar foot ulcer recurrence.\n            \n            \n              RESEARCH DESIGN AND METHODS\n              We randomly assigned 171 neuropathic diabetic patients with a recently healed plantar foot ulcer to custom-made footwear with improved and subsequently preserved offloading (</w:instrText>
      </w:r>
      <w:r w:rsidR="0085599B">
        <w:rPr>
          <w:rFonts w:ascii="Cambria Math" w:hAnsi="Cambria Math" w:cs="Cambria Math"/>
          <w:lang w:val="en-US"/>
        </w:rPr>
        <w:instrText>∼</w:instrText>
      </w:r>
      <w:r w:rsidR="0085599B">
        <w:rPr>
          <w:rFonts w:ascii="Garamond" w:hAnsi="Garamond"/>
          <w:lang w:val="en-US"/>
        </w:rPr>
        <w:instrText xml:space="preserve">20% peak pressure relief by modifying the footwear) or to usual care (i.e., nonimproved custom-made footwear). Primary outcome was plantar foot ulcer recurrence in 18 months. Secondary outcome was ulcer recurrence in patients with an objectively measured adherence of ≥80% of steps taken.\n            \n            \n              RESULTS\n              On the basis of intention-to-treat, 33 of 85 patients (38.8%) with improved footwear and 38 of 86 patients (44.2%) with usual care had a recurrent ulcer (relative risk −11%, odds ratio 0.80 [95% CI 0.44–1.47], P = 0.48). Ulcer-free survival curves were not significantly different between groups (P = 0.40). In the 79 patients (46% of total group) with high adherence, 9 of 35 (25.7%) with improved footwear and 21 of 44 (47.8%) with usual care had a recurrent ulcer (relative risk −46%, odds ratio 0.38 [0.15–0.99], P = 0.045).\n            \n            \n              CONCLUSIONS\n              Offloading-improved custom-made footwear does not significantly reduce the incidence of plantar foot ulcer recurrence in diabetes compared with custom-made footwear that does not undergo such improvement, unless it is worn as recommended.","container-title":"Diabetes Care","DOI":"10.2337/dc13-0996","ISSN":"0149-5992, 1935-5548","issue":"12","language":"en","page":"4109-4116","source":"DOI.org (Crossref)","title":"Effect of Custom-Made Footwear on Foot Ulcer Recurrence in Diabetes","volume":"36","author":[{"family":"Bus","given":"Sicco A."},{"family":"Waaijman","given":"Roelof"},{"family":"Arts","given":"Mark"},{"family":"De Haart","given":"Mirjam"},{"family":"Busch-Westbroek","given":"Tessa"},{"family":"Van Baal","given":"Jeff"},{"family":"Nollet","given":"Frans"}],"issued":{"date-parts":[["2013",12,1]]}}}],"schema":"https://github.com/citation-style-language/schema/raw/master/csl-citation.json"}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5</w:t>
      </w:r>
      <w:r w:rsidR="00AB331B" w:rsidRPr="005F5A72">
        <w:rPr>
          <w:rFonts w:ascii="Garamond" w:hAnsi="Garamond"/>
          <w:lang w:val="en-US"/>
        </w:rPr>
        <w:fldChar w:fldCharType="end"/>
      </w:r>
      <w:r w:rsidR="001675B0" w:rsidRPr="005F5A72">
        <w:rPr>
          <w:rFonts w:ascii="Garamond" w:hAnsi="Garamond"/>
          <w:lang w:val="en-US"/>
        </w:rPr>
        <w:t xml:space="preserve"> </w:t>
      </w:r>
      <w:r w:rsidR="00882E24" w:rsidRPr="00882E24">
        <w:rPr>
          <w:rFonts w:ascii="Garamond" w:hAnsi="Garamond"/>
          <w:lang w:val="en-GB"/>
        </w:rPr>
        <w:t xml:space="preserve">62 evaluable participants per arm are required; accounting for 15% loss to follow-up, the target sample size is 144 participants (~24 per centre). </w:t>
      </w:r>
      <w:r w:rsidR="00882E24" w:rsidRPr="008B13B4">
        <w:rPr>
          <w:rFonts w:ascii="Garamond" w:hAnsi="Garamond"/>
          <w:lang w:val="en-GB"/>
        </w:rPr>
      </w:r>
    </w:p>
    <w:p w14:paraId="56015169" w14:textId="77777777" w:rsidR="004E57D3" w:rsidRDefault="008B13B4" w:rsidP="004E57D3">
      <w:pPr>
        <w:spacing w:after="60"/>
        <w:jc w:val="both"/>
        <w:rPr>
          <w:rFonts w:ascii="Garamond" w:hAnsi="Garamond"/>
          <w:lang w:val="en-US"/>
        </w:rPr>
      </w:pPr>
      <w:r w:rsidRPr="008B13B4">
        <w:rPr>
          <w:rFonts w:ascii="Garamond" w:hAnsi="Garamond"/>
          <w:lang w:val="en-GB"/>
        </w:rPr>
        <w:t>All analyses follow the intention-to-treat principle. Recurrence outcomes will account for competing mortality risk using appropriate competing-risk methods; longitudinal biomechanical and adherence outcomes will be analysed using mixed-effects models accounting for centre- and participant-level variability. The mediating role of footwear adherence will be examined in a pre-specified causal mediation analysis. Missing data will be addressed using multiple imputation by chained equations.</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{"citationID":"UH4ZITwG","properties":{"unsorted":false,"formattedCitation":"\\super 16,17\\nosupersub{}","plainCitation":"16,17","noteIndex":0},"citationItems":[{"id":1,"uris":["http://zotero.org/users/19619518/items/KEXNYEIV"],"itemData":{"id":1,"type":"article-journal","abstract":"Abstract\n            Multiple imputation by chained equations is a flexible and practical approach to handling missing data. We describe the principles of the method and show how to impute categorical and quantitative variables, including skewed variables. We give guidance on how to specify the imputation model and how many imputations are needed. We describe the practical analysis of multiply imputed data, including model building and model checking. We stress the limitations of the method and discuss the possible pitfalls. We illustrate the ideas using a data set in mental health, giving Stata code fragments. Copyright © 2010 John Wiley &amp; Sons, Ltd.","container-title":"Statistics in Medicine","DOI":"10.1002/sim.4067","ISSN":"0277-6715, 1097-0258","issue":"4","journalAbbreviation":"Statistics in Medicine","language":"en","license":"http://onlinelibrary.wiley.com/termsAndConditions#vor","page":"377-399","source":"DOI.org (Crossref)","title":"Multiple imputation using chained equations: Issues and guidance for practice","title-short":"Multiple imputation using chained equations","volume":"30","author":[{"family":"White","given":"Ian R."},{"family":"Royston","given":"Patrick"},{"family":"Wood","given":"Angela M."}],"issued":{"date-parts":[["2011",2,20]]}}},{"id":26,"uris":["http://zotero.org/users/19619518/items/U8BHTRYC"],"itemData":{"id":26,"type":"article-journal","abstract":"ABSTRACT\n            Participants who are randomized to treatment but have no post</w:instrText>
      </w:r>
      <w:r w:rsidR="0085599B">
        <w:rPr>
          <w:rFonts w:ascii="Cambria Math" w:hAnsi="Cambria Math" w:cs="Cambria Math"/>
          <w:lang w:val="en-US"/>
        </w:rPr>
        <w:instrText>‐</w:instrText>
      </w:r>
      <w:r w:rsidR="0085599B">
        <w:rPr>
          <w:rFonts w:ascii="Garamond" w:hAnsi="Garamond"/>
          <w:lang w:val="en-US"/>
        </w:rPr>
        <w:instrText>baseline data pose a unique challenge. These participants need to be included to preserve randomization. Because there is no information about the outcome or the intercurrent event(s) that led to missing data, an estimand of interest, and the focus of this study, is a hypothetical strategy to estimate what would have been observed if participants had not discontinued. Various imputation</w:instrText>
      </w:r>
      <w:r w:rsidR="0085599B">
        <w:rPr>
          <w:rFonts w:ascii="Cambria Math" w:hAnsi="Cambria Math" w:cs="Cambria Math"/>
          <w:lang w:val="en-US"/>
        </w:rPr>
        <w:instrText>‐</w:instrText>
      </w:r>
      <w:r w:rsidR="0085599B">
        <w:rPr>
          <w:rFonts w:ascii="Garamond" w:hAnsi="Garamond"/>
          <w:lang w:val="en-US"/>
        </w:rPr>
        <w:instrText>based and likelihood</w:instrText>
      </w:r>
      <w:r w:rsidR="0085599B">
        <w:rPr>
          <w:rFonts w:ascii="Cambria Math" w:hAnsi="Cambria Math" w:cs="Cambria Math"/>
          <w:lang w:val="en-US"/>
        </w:rPr>
        <w:instrText>‐</w:instrText>
      </w:r>
      <w:r w:rsidR="0085599B">
        <w:rPr>
          <w:rFonts w:ascii="Garamond" w:hAnsi="Garamond"/>
          <w:lang w:val="en-US"/>
        </w:rPr>
        <w:instrText>based analyses were compared in simulated and real clinical trial data. Models that used baseline as a covariate or constrained baseline values to be equal yielded similar results and had greater power than an unconstrained analysis that fit baseline as a response. Assigning change to the first post</w:instrText>
      </w:r>
      <w:r w:rsidR="0085599B">
        <w:rPr>
          <w:rFonts w:ascii="Cambria Math" w:hAnsi="Cambria Math" w:cs="Cambria Math"/>
          <w:lang w:val="en-US"/>
        </w:rPr>
        <w:instrText>‐</w:instrText>
      </w:r>
      <w:r w:rsidR="0085599B">
        <w:rPr>
          <w:rFonts w:ascii="Garamond" w:hAnsi="Garamond"/>
          <w:lang w:val="en-US"/>
        </w:rPr>
        <w:instrText>baseline visit as 0 and applying an analysis with baseline as a covariate controlled Type I error at the nominal level and had power equal to or greater than other methods. Treatment contrasts were not biased when the reason for missing all post</w:instrText>
      </w:r>
      <w:r w:rsidR="0085599B">
        <w:rPr>
          <w:rFonts w:ascii="Cambria Math" w:hAnsi="Cambria Math" w:cs="Cambria Math"/>
          <w:lang w:val="en-US"/>
        </w:rPr>
        <w:instrText>‐</w:instrText>
      </w:r>
      <w:r w:rsidR="0085599B">
        <w:rPr>
          <w:rFonts w:ascii="Garamond" w:hAnsi="Garamond"/>
          <w:lang w:val="en-US"/>
        </w:rPr>
        <w:instrText>baseline data was random or treatment related. Within</w:instrText>
      </w:r>
      <w:r w:rsidR="0085599B">
        <w:rPr>
          <w:rFonts w:ascii="Cambria Math" w:hAnsi="Cambria Math" w:cs="Cambria Math"/>
          <w:lang w:val="en-US"/>
        </w:rPr>
        <w:instrText>‐</w:instrText>
      </w:r>
      <w:r w:rsidR="0085599B">
        <w:rPr>
          <w:rFonts w:ascii="Garamond" w:hAnsi="Garamond"/>
          <w:lang w:val="en-US"/>
        </w:rPr>
        <w:instrText>group bias occurred with outcome</w:instrText>
      </w:r>
      <w:r w:rsidR="0085599B">
        <w:rPr>
          <w:rFonts w:ascii="Cambria Math" w:hAnsi="Cambria Math" w:cs="Cambria Math"/>
          <w:lang w:val="en-US"/>
        </w:rPr>
        <w:instrText>‐</w:instrText>
      </w:r>
      <w:r w:rsidR="0085599B">
        <w:rPr>
          <w:rFonts w:ascii="Garamond" w:hAnsi="Garamond"/>
          <w:lang w:val="en-US"/>
        </w:rPr>
        <w:instrText>related missingness of all post</w:instrText>
      </w:r>
      <w:r w:rsidR="0085599B">
        <w:rPr>
          <w:rFonts w:ascii="Cambria Math" w:hAnsi="Cambria Math" w:cs="Cambria Math"/>
          <w:lang w:val="en-US"/>
        </w:rPr>
        <w:instrText>‐</w:instrText>
      </w:r>
      <w:r w:rsidR="0085599B">
        <w:rPr>
          <w:rFonts w:ascii="Garamond" w:hAnsi="Garamond"/>
          <w:lang w:val="en-US"/>
        </w:rPr>
        <w:instrText>baseline data, but the bias was nearly equal in the two arms, leading to unbiased treatment contrasts. Bias occurred when missing all post</w:instrText>
      </w:r>
      <w:r w:rsidR="0085599B">
        <w:rPr>
          <w:rFonts w:ascii="Cambria Math" w:hAnsi="Cambria Math" w:cs="Cambria Math"/>
          <w:lang w:val="en-US"/>
        </w:rPr>
        <w:instrText>‐</w:instrText>
      </w:r>
      <w:r w:rsidR="0085599B">
        <w:rPr>
          <w:rFonts w:ascii="Garamond" w:hAnsi="Garamond"/>
          <w:lang w:val="en-US"/>
        </w:rPr>
        <w:instrText>baseline data was related to treatment and outcome. Given the idiosyncratic nature of clinical trials, no universally best analytic approach exists for dealing with participants that have a baseline but no post</w:instrText>
      </w:r>
      <w:r w:rsidR="0085599B">
        <w:rPr>
          <w:rFonts w:ascii="Cambria Math" w:hAnsi="Cambria Math" w:cs="Cambria Math"/>
          <w:lang w:val="en-US"/>
        </w:rPr>
        <w:instrText>‐</w:instrText>
      </w:r>
      <w:r w:rsidR="0085599B">
        <w:rPr>
          <w:rFonts w:ascii="Garamond" w:hAnsi="Garamond"/>
          <w:lang w:val="en-US"/>
        </w:rPr>
        <w:instrText>baseline data. Analysts can choose among the methods to tailor an approach to the situation at hand.","container-title":"Pharmaceutical Statistics","DOI":"10.1002/pst.70076","ISSN":"1539-1604, 1539-1612","issue":"2","journalAbbreviation":"Pharmaceutical Statistics","language":"en","page":"e70076","source":"DOI.org (Crossref)","title":"Handling Missing Data in Participants with Baseline but No Post</w:instrText>
      </w:r>
      <w:r w:rsidR="0085599B">
        <w:rPr>
          <w:rFonts w:ascii="Cambria Math" w:hAnsi="Cambria Math" w:cs="Cambria Math"/>
          <w:lang w:val="en-US"/>
        </w:rPr>
        <w:instrText>‐</w:instrText>
      </w:r>
      <w:r w:rsidR="0085599B">
        <w:rPr>
          <w:rFonts w:ascii="Garamond" w:hAnsi="Garamond"/>
          <w:lang w:val="en-US"/>
        </w:rPr>
        <w:instrText xml:space="preserve">Baseline Data","volume":"25","author":[{"family":"Mallinckrodt","given":"Craig"},{"family":"Lipkovich","given":"Ilya"},{"family":"Dickson","given":"Samuel"},{"family":"Hendrix","given":"Suzanne"},{"family":"Molenberghs","given":"Geert"}],"issued":{"date-parts":[["2026",3]]}}}],"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16,17</w:t>
      </w:r>
      <w:r w:rsidR="00AB331B" w:rsidRPr="005F5A72">
        <w:rPr>
          <w:rFonts w:ascii="Garamond" w:hAnsi="Garamond"/>
          <w:lang w:val="en-US"/>
        </w:rPr>
        <w:fldChar w:fldCharType="end"/>
      </w:r>
    </w:p>
    <w:p w14:paraId="3440D3F8" w14:textId="4DE7F07A" w:rsidR="00E4342F" w:rsidRPr="004E57D3" w:rsidRDefault="0060331E" w:rsidP="004E57D3">
      <w:pPr>
        <w:spacing w:after="60"/>
        <w:jc w:val="both"/>
        <w:rPr>
          <w:rFonts w:ascii="Garamond" w:hAnsi="Garamond"/>
          <w:lang w:val="en-US"/>
        </w:rPr>
      </w:pPr>
      <w:r w:rsidRPr="005F5A72">
        <w:rPr>
          <w:rFonts w:ascii="Garamond" w:hAnsi="Garamond"/>
          <w:b/>
          <w:lang w:val="en-US"/>
        </w:rPr>
        <w:lastRenderedPageBreak/>
        <w:t xml:space="preserve">Techniques, collaborations and ethics. </w:t>
      </w:r>
      <w:r w:rsidRPr="005F5A72">
        <w:rPr>
          <w:rFonts w:ascii="Garamond" w:hAnsi="Garamond"/>
          <w:lang w:val="en-US"/>
        </w:rPr>
        <w:t>Patient-</w:t>
      </w:r>
      <w:proofErr w:type="spellStart"/>
      <w:r w:rsidRPr="005F5A72">
        <w:rPr>
          <w:rFonts w:ascii="Garamond" w:hAnsi="Garamond"/>
          <w:lang w:val="en-US"/>
        </w:rPr>
        <w:t>centred</w:t>
      </w:r>
      <w:proofErr w:type="spellEnd"/>
      <w:r w:rsidRPr="005F5A72">
        <w:rPr>
          <w:rFonts w:ascii="Garamond" w:hAnsi="Garamond"/>
          <w:lang w:val="en-US"/>
        </w:rPr>
        <w:t xml:space="preserve"> assessments comprise NAFF and EQ-5D-5L.</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{"citationID":"Jq1GVFdJ","properties":{"unsorted":false,"formattedCitation":"\\super 18\\nosupersub{}","plainCitation":"18","noteIndex":0},"citationItems":[{"id":11,"uris":["http://zotero.org/users/19619518/items/IXHQ3S2J"],"itemData":{"id":11,"type":"article-journal","container-title":"Quality of Life Research","DOI":"10.1007/s11136-011-9903-x","ISSN":"0962-9343, 1573-2649","issue":"10","journalAbbreviation":"Qual Life Res","language":"en","license":"http://creativecommons.org/licenses/by-nc/2.0","page":"1727-1736","source":"DOI.org (Crossref)","title":"Development and preliminary testing of the new five-level version of EQ-5D (EQ-5D-5L)","volume":"20","author":[{"family":"Herdman","given":"M."},{"family":"Gudex","given":"C."},{"family":"Lloyd","given":"A."},{"family":"Janssen","given":"Mf."},{"family":"Kind","given":"P."},{"family":"Parkin","given":"D."},{"family":"Bonsel","given":"G."},{"family":"Badia","given":"X."}],"issued":{"date-parts":[["2011",12]]}}}],"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18</w:t>
      </w:r>
      <w:r w:rsidR="00AB331B" w:rsidRPr="005F5A72">
        <w:rPr>
          <w:rFonts w:ascii="Garamond" w:hAnsi="Garamond"/>
          <w:lang w:val="en-US"/>
        </w:rPr>
        <w:fldChar w:fldCharType="end"/>
      </w:r>
      <w:r w:rsidRPr="005F5A72">
        <w:rPr>
          <w:rFonts w:ascii="Garamond" w:hAnsi="Garamond"/>
          <w:lang w:val="en-US"/>
        </w:rPr>
        <w:t xml:space="preserve"> </w:t>
      </w:r>
      <w:r w:rsidR="00296877" w:rsidRPr="00296877">
        <w:rPr>
          <w:rFonts w:ascii="Garamond" w:hAnsi="Garamond"/>
          <w:lang w:val="en-GB"/>
        </w:rPr>
        <w:t>The candidate will co-develop multicentre protocols, assessment materials, SEBIA intervention materials, the REDCap data-management system, and the investigator training and monitoring workflows.</w:t>
      </w:r>
    </w:p>
    <w:p w14:paraId="61CA83E5" w14:textId="77777777" w:rsidR="004E57D3" w:rsidRDefault="00296877" w:rsidP="004E57D3">
      <w:pPr>
        <w:spacing w:after="60"/>
        <w:jc w:val="both"/>
        <w:rPr>
          <w:rFonts w:ascii="Garamond" w:hAnsi="Garamond"/>
          <w:lang w:val="en-GB"/>
        </w:rPr>
      </w:pPr>
      <w:r>
        <w:rPr>
          <w:b/>
        </w:rPr>
        <w:t xml:space="preserve">Ethics and regulatory submission. </w:t>
      </w:r>
      <w:r w:rsidRPr="00296877">
        <w:rPr>
          <w:rFonts w:ascii="Garamond" w:hAnsi="Garamond"/>
          <w:b w:val="0"/>
          <w:lang w:val="en-GB"/>
        </w:rPr>
        <w:t>Central submission to the EC Research UZ/KU Leuven and the FAMHP is scheduled for October 2026, with the six local approvals expected between November 2026 and January 2027. The trial will be prospectively registered and conducted under a GDPR-compliant data-management framework. Ulcer recurrence is ascertained by the multidisciplinary clinical team; the absence of an independent blinded adjudication committee is acknowledged as a limitation.</w:t>
      </w:r>
    </w:p>
    <w:p w14:paraId="00F95CBD" w14:textId="0730826F" w:rsidR="007D5D60" w:rsidRPr="00815A84" w:rsidRDefault="0022270C" w:rsidP="004E57D3">
      <w:pPr>
        <w:pBdr>
          <w:bottom w:val="single" w:sz="6" w:space="2" w:color="2A7F8E"/>
        </w:pBdr>
        <w:spacing w:after="60"/>
        <w:rPr>
          <w:rFonts w:ascii="Garamond" w:hAnsi="Garamond"/>
          <w:sz w:val="28"/>
          <w:szCs w:val="28"/>
          <w:lang w:val="en-US"/>
        </w:rPr>
      </w:pPr>
      <w:r w:rsidRPr="00815A84">
        <w:rPr>
          <w:rFonts w:ascii="Garamond" w:eastAsia="Calibri" w:hAnsi="Garamond"/>
          <w:b/>
          <w:bCs/>
          <w:color w:val="20415A"/>
          <w:sz w:val="28"/>
          <w:szCs w:val="28"/>
          <w:lang w:val="en-US"/>
        </w:rPr>
        <w:t xml:space="preserve">4. Milestones, timing and feasibility </w:t>
      </w:r>
    </w:p>
    <w:p w14:paraId="73816E97" w14:textId="77777777" w:rsidR="004E57D3" w:rsidRDefault="00EB51B7" w:rsidP="004E57D3">
      <w:pPr>
        <w:spacing w:after="60"/>
        <w:jc w:val="both"/>
        <w:rPr>
          <w:rFonts w:ascii="Garamond" w:hAnsi="Garamond"/>
          <w:lang w:val="en-US"/>
        </w:rPr>
      </w:pPr>
      <w:r w:rsidRPr="005F5A72">
        <w:rPr>
          <w:rFonts w:ascii="Garamond" w:hAnsi="Garamond"/>
          <w:b/>
          <w:lang w:val="en-US"/>
        </w:rPr>
        <w:t xml:space="preserve">Timeline (Figure 2). </w:t>
      </w:r>
      <w:r w:rsidR="00BC49CB" w:rsidRPr="00BC49CB">
        <w:rPr>
          <w:rFonts w:ascii="Garamond" w:hAnsi="Garamond"/>
          <w:lang w:val="en-GB"/>
        </w:rPr>
        <w:t>During months 1–6, the candidate will finalise the trial protocol, clinical assessment booklet, electronic case-report forms, and ethics and regulatory submissions in accordance with SPIRIT recommendations for randomised trial protocols</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{"citationID":"Ueg82Z2z","properties":{"unsorted":false,"formattedCitation":"\\super 19\\nosupersub{}","plainCitation":"19","noteIndex":0},"citationItems":[{"id":6,"uris":["http://zotero.org/users/19619518/items/CWMJLDVD"],"itemData":{"id":6,"type":"article-journal","abstract":"Abstract\n            \n              Importance\n              The protocol of a randomised trial is the foundation for study planning, conduct, reporting, and external review. However, trial protocols vary in their completeness and often do not address key elements of design and conduct. The SPIRIT (Standard Protocol Items: Recommendations for Interventional Trials) statement was first published in 2013 as guidance to improve the completeness of trial protocols. Periodic updates incorporating the latest evidence and best practices are needed to ensure that the guidance remains relevant to users.\n            \n            \n              Objective\n              To systematically update the SPIRIT recommendations for minimum items to address in the protocol of a randomised trial.\n            \n            \n              Design\n              We completed a scoping review and developed a project specific database of empirical and theoretical evidence to generate a list of potential changes to the SPIRIT 2013 checklist. The list was enriched with recommendations provided by lead authors of existing SPIRIT/CONSORT (Consolidated Standards of Reporting Trials) extensions (Harms, Outcomes, Non-pharmacological Treatment) and other reporting guidelines (TIDieR). The potential modifications were rated in a three-round Delphi survey followed by a consensus meeting.\n            \n            \n              Findings\n              Overall, 317 individuals participated in the Delphi consensus process and 30 experts attended the consensus meeting. The process led to the addition of two new protocol items, revision to five items, deletion/merger of five items, and integration of key items from other relevant reporting guidelines. Notable changes include a new open science section, additional emphasis on the assessment of harms and description of interventions and comparators, and a new item on how patients and the public will be involved in trial design, conduct, and reporting. The updated SPIRIT 2025 statement consists of an evidence based checklist of 34 minimum items to address in a trial protocol, along with a diagram illustrating the schedule of enrolment, interventions, and assessments for trial participants. To facilitate implementation, we also developed an expanded version of the SPIRIT 2025 checklist and an accompanying explanation and elaboration document.\n            \n            \n              Conclusions and relevance\n              Widespread endorsement and adherence to the updated SPIRIT 2025 statement have the potential to enhance the transparency and completeness of trial protocols for the benefit of investigators, trial participants, patients, funders, research ethics committees, journals, trial registries, policymakers, regulators, and other reviewers.","container-title":"BMJ","DOI":"10.1136/bmj-2024-081477","ISSN":"1756-1833","journalAbbreviation":"BMJ","language":"en","page":"e081477","source":"DOI.org (Crossref)","title":"SPIRIT 2025 statement: updated guideline for protocols of randomised trials","title-short":"SPIRIT 2025 statement","volume":"389","author":[{"family":"Chan","given":"An-Wen"},{"family":"Boutron","given":"Isabelle"},{"family":"Hopewell","given":"Sally"},{"family":"Moher","given":"David"},{"family":"Schulz","given":"Kenneth F"},{"family":"Collins","given":"Gary S"},{"family":"Tunn","given":"Ruth"},{"family":"Aggarwal","given":"Rakesh"},{"family":"Berkwits","given":"Michael"},{"family":"Berlin","given":"Jesse A"},{"family":"Bhandari","given":"Nita"},{"family":"Butcher","given":"Nancy J"},{"family":"Campbell","given":"Marion K"},{"family":"Chidebe","given":"Runcie C W"},{"family":"Elbourne","given":"Diana R"},{"family":"Farmer","given":"Andrew J"},{"family":"Fergusson","given":"Dean A"},{"family":"Golub","given":"Robert M"},{"family":"Goodman","given":"Steven N"},{"family":"Hoffmann","given":"Tammy C"},{"family":"Ioannidis","given":"John P A"},{"family":"Kahan","given":"Brennan C"},{"family":"Knowles","given":"Rachel L"},{"family":"Lamb","given":"Sarah E"},{"family":"Lewis","given":"Steff"},{"family":"Loder","given":"Elizabeth"},{"family":"Offringa","given":"Martin"},{"family":"Ravaud","given":"Philippe"},{"family":"Richards","given":"Dawn P"},{"family":"Rockhold","given":"Frank W"},{"family":"Schriger","given":"David L"},{"family":"Siegfried","given":"Nandi L"},{"family":"Staniszewska","given":"Sophie"},{"family":"Taylor","given":"Rod S"},{"family":"Thabane","given":"Lehana"},{"family":"Torgerson","given":"David J"},{"family":"Vohra","given":"Sunita"},{"family":"White","given":"Ian R"},{"family":"Hróbjartsson","given":"Asbjørn"}],"issued":{"date-parts":[["2025",4,28]]}}}],"schema":"https://github.com/citation-style-language/schema/raw/master/csl-citation.json"}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19</w:t>
      </w:r>
      <w:r w:rsidR="00AB331B" w:rsidRPr="005F5A72">
        <w:rPr>
          <w:rFonts w:ascii="Garamond" w:hAnsi="Garamond"/>
          <w:lang w:val="en-US"/>
        </w:rPr>
        <w:fldChar w:fldCharType="end"/>
      </w:r>
      <w:r w:rsidRPr="005F5A72">
        <w:rPr>
          <w:rFonts w:ascii="Garamond" w:hAnsi="Garamond"/>
          <w:lang w:val="en-US"/>
        </w:rPr>
        <w:t>; a final operational pilot will verify workflow feasibility and data capture before trial initiation.</w:t>
      </w:r>
    </w:p>
    <w:p w14:paraId="5FB4CC3B" w14:textId="39C75EFD" w:rsidR="004E57D3" w:rsidRDefault="00115B8F" w:rsidP="004E57D3">
      <w:pPr>
        <w:spacing w:after="60"/>
        <w:jc w:val="both"/>
        <w:rPr>
          <w:rFonts w:ascii="Garamond" w:hAnsi="Garamond"/>
          <w:lang w:val="en-US"/>
        </w:rPr>
      </w:pPr>
      <w:r w:rsidRPr="00115B8F">
        <w:rPr>
          <w:rFonts w:ascii="Garamond" w:hAnsi="Garamond"/>
          <w:lang w:val="en-GB"/>
        </w:rPr>
        <w:t>Between months 6–24, recruitment and randomisation of 144 participants will proceed across six participating DFCs. Intervention delivery and follow-up will continue until month 42, with quality control and intervention-fidelity monitoring throughout.</w:t>
      </w:r>
    </w:p>
    <w:p w14:paraId="547E1F48" w14:textId="5D31EF43" w:rsidR="00453A31" w:rsidRPr="004E57D3" w:rsidRDefault="00050841" w:rsidP="004E57D3">
      <w:pPr>
        <w:spacing w:after="60"/>
        <w:jc w:val="both"/>
        <w:rPr>
          <w:rFonts w:ascii="Garamond" w:hAnsi="Garamond"/>
          <w:lang w:val="en-US"/>
        </w:rPr>
      </w:pPr>
      <w:r w:rsidRPr="00050841">
        <w:rPr>
          <w:rFonts w:ascii="Garamond" w:hAnsi="Garamond"/>
          <w:lang w:val="en-GB"/>
        </w:rPr>
        <w:t>During months 43–48, database closure, analyses, manuscript preparation and thesis completion will be performed. Manuscript development runs throughout the project; the planned outputs are listed in section 5.</w:t>
      </w:r>
    </w:p>
    <w:p w14:paraId="28DEA708" w14:textId="3BA1AF87" w:rsidR="006C2B33" w:rsidRDefault="00453A31" w:rsidP="004E57D3">
      <w:pPr>
        <w:spacing w:after="60"/>
        <w:jc w:val="both"/>
        <w:rPr>
          <w:rFonts w:ascii="Garamond" w:hAnsi="Garamond"/>
          <w:lang w:val="en-GB"/>
        </w:rPr>
      </w:pPr>
      <w:r w:rsidRPr="005F5A72">
        <w:rPr>
          <w:rFonts w:ascii="Garamond" w:hAnsi="Garamond"/>
          <w:noProof/>
        </w:rPr>
        <w:drawing>
          <wp:inline distT="0" distB="0" distL="0" distR="0" wp14:anchorId="6ED026D2" wp14:editId="3F744569">
            <wp:extent cx="6188710" cy="2425700"/>
            <wp:effectExtent l="0" t="0" r="2540" b="0"/>
            <wp:docPr id="170921764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88710" cy="2425700"/>
                    </a:xfrm>
                    <a:prstGeom prst="rect">
                      <a:avLst/>
                    </a:prstGeom>
                    <a:noFill/>
                    <a:ln>
                      <a:noFill/>
                    </a:ln>
                  </pic:spPr>
                </pic:pic>
              </a:graphicData>
            </a:graphic>
          </wp:inline>
        </w:drawing>
      </w:r>
    </w:p>
    <w:p w14:paraId="0923BBB5" w14:textId="43599A60" w:rsidR="00453A31" w:rsidRPr="00453A31" w:rsidRDefault="00453A31" w:rsidP="004E57D3">
      <w:pPr>
        <w:spacing w:after="60"/>
        <w:jc w:val="both"/>
        <w:rPr>
          <w:rFonts w:ascii="Garamond" w:hAnsi="Garamond"/>
          <w:lang w:val="en-US"/>
        </w:rPr>
      </w:pPr>
      <w:r w:rsidRPr="005F5A72">
        <w:rPr>
          <w:rFonts w:ascii="Garamond" w:hAnsi="Garamond"/>
          <w:b/>
          <w:i/>
          <w:lang w:val="en-US"/>
        </w:rPr>
        <w:t xml:space="preserve">Figure 2. </w:t>
      </w:r>
      <w:r w:rsidRPr="005F5A72">
        <w:rPr>
          <w:rFonts w:ascii="Garamond" w:hAnsi="Garamond"/>
          <w:i/>
          <w:lang w:val="en-US"/>
        </w:rPr>
        <w:t>Indicative 48-month PhD timeline mapped to consortium milestones MS1–MS5</w:t>
      </w:r>
    </w:p>
    <w:p w14:paraId="55B2DA4D" w14:textId="77777777" w:rsidR="004E57D3" w:rsidRDefault="00EB51B7" w:rsidP="004E57D3">
      <w:pPr>
        <w:spacing w:after="60"/>
        <w:jc w:val="both"/>
        <w:rPr>
          <w:rFonts w:ascii="Garamond" w:hAnsi="Garamond"/>
          <w:lang w:val="en-US"/>
        </w:rPr>
      </w:pPr>
      <w:r w:rsidRPr="005F5A72">
        <w:rPr>
          <w:rFonts w:ascii="Garamond" w:hAnsi="Garamond"/>
          <w:b/>
          <w:lang w:val="en-US"/>
        </w:rPr>
        <w:t xml:space="preserve">Feasibility. </w:t>
      </w:r>
      <w:r w:rsidR="0005227F" w:rsidRPr="0005227F">
        <w:rPr>
          <w:rFonts w:ascii="Garamond" w:hAnsi="Garamond"/>
          <w:lang w:val="en-GB"/>
        </w:rPr>
        <w:t>Recruitment is feasible: each participating DFC treats at least 52 eligible high-risk patients annually, supporting a recruitment rate of 1–2 participants per centre per month. Comparable rates have been achieved in previous multicentre diabetic-foot trials within specialised networks.</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{"citationID":"OMKVnDwF","properties":{"unsorted":false,"formattedCitation":"\\super 20\\nosupersub{}","plainCitation":"20","noteIndex":0},"citationItems":[{"id":24,"uris":["http://zotero.org/users/19619518/items/VQEBZU3J"],"itemData":{"id":24,"type":"article-journal","abstract":"Objectives\n              To review the consent, recruitment and retention rates for randomised controlled trials (RCTs) funded by the UK’s National Institute for Health Research (NIHR) and published in the online NIHR Journals Library between January 1997 and December 2020.\n            \n            \n              Design\n              Comprehensive review.\n            \n            \n              Setting\n              RCTs funded by the NIHR and published in the NIHR Journals Library.\n            \n            \n              Data extraction\n              Information relating to the trial characteristics, sample size, recruitment and retention.\n            \n            \n              Primary and secondary outcome measures\n              The primary outcome was the recruitment rate (number of participants recruited per centre per month). Secondary outcomes were the target sample size and whether it was achieved; consent rates (percentage of eligible participants who consented and were randomised) and retention rates (percentage of randomised participants retained and assessed with valid primary outcome data).\n            \n            \n              Results\n              This review identified 388 individual RCTs from 379 reports in the NIHR Journals Library. The final recruitment target sample size was achieved in 63% (245/388) of the RCTs. The original recruitment target was revised in 30% (118/388) of trials (downwards in 67% (79/118)). The median recruitment rate (participants per centre per month) was found to be 0.95 (IQR: 0.42–2.60); the median consent rate was 72% (IQR: 50%–88%) and the median retention rate was estimated at 88% (IQR: 80%–97%).\n            \n            \n              Conclusions\n              There is considerable variation in the consent, recruitment and retention rates in publicly funded RCTs. Although the majority of (6 out of 10) trials in this review achieved their final target sample; 3 out of 10 trials revised their original target sample size (downwards in 7 out of 10 trials). Investigators should bear this in mind at the planning stage of their study and not be overly optimistic about their recruitment projections.","container-title":"BMJ Open","DOI":"10.1136/bmjopen-2021-059230","ISSN":"2044-6055, 2044-6055","issue":"2","journalAbbreviation":"BMJ Open","language":"en","page":"e059230","source":"DOI.org (Crossref)","title":"Recruitment, consent and retention of participants in randomised controlled trials: a review of trials published in the National Institute for Health Research (NIHR) Journals Library (1997–2020)","title-short":"Recruitment, consent and retention of participants in randomised controlled trials","volume":"12","author":[{"family":"Jacques","given":"Richard M"},{"family":"Ahmed","given":"Rashida"},{"family":"Harper","given":"James"},{"family":"Ranjan","given":"Adya"},{"family":"Saeed","given":"Isra"},{"family":"Simpson","given":"Rebecca M"},{"family":"Walters","given":"Stephen J"}],"issued":{"date-parts":[["2022",2]]}}}],"schema":"https://github.com/citation-style-language/schema/raw/master/csl-citation.json"}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20</w:t>
      </w:r>
      <w:r w:rsidR="00AB331B" w:rsidRPr="005F5A72">
        <w:rPr>
          <w:rFonts w:ascii="Garamond" w:hAnsi="Garamond"/>
          <w:lang w:val="en-US"/>
        </w:rPr>
        <w:fldChar w:fldCharType="end"/>
      </w:r>
    </w:p>
    <w:p w14:paraId="24C5AABE" w14:textId="0CBB33CC" w:rsidR="008E150F" w:rsidRDefault="00EB51B7" w:rsidP="004E57D3">
      <w:pPr>
        <w:spacing w:after="60"/>
        <w:jc w:val="both"/>
        <w:rPr>
          <w:rFonts w:ascii="Garamond" w:hAnsi="Garamond"/>
          <w:lang w:val="en-US"/>
        </w:rPr>
      </w:pPr>
      <w:r w:rsidRPr="005F5A72">
        <w:rPr>
          <w:rFonts w:ascii="Garamond" w:hAnsi="Garamond"/>
          <w:b/>
          <w:lang w:val="en-US"/>
        </w:rPr>
        <w:t xml:space="preserve">Risks and mitigations. </w:t>
      </w:r>
      <w:r w:rsidR="00184532" w:rsidRPr="00184532">
        <w:rPr>
          <w:rFonts w:ascii="Garamond" w:hAnsi="Garamond"/>
          <w:bCs/>
          <w:lang w:val="en-US"/>
        </w:rPr>
        <w:t>R</w:t>
      </w:r>
      <w:proofErr w:type="spellStart"/>
      <w:r w:rsidR="00184532" w:rsidRPr="00184532">
        <w:rPr>
          <w:rFonts w:ascii="Garamond" w:hAnsi="Garamond"/>
          <w:bCs/>
          <w:lang w:val="en-GB"/>
        </w:rPr>
        <w:t>ecr</w:t>
      </w:r>
      <w:r w:rsidR="00184532" w:rsidRPr="00184532">
        <w:rPr>
          <w:rFonts w:ascii="Garamond" w:hAnsi="Garamond"/>
          <w:lang w:val="en-GB"/>
        </w:rPr>
        <w:t>uitment</w:t>
      </w:r>
      <w:proofErr w:type="spellEnd"/>
      <w:r w:rsidR="00184532" w:rsidRPr="00184532">
        <w:rPr>
          <w:rFonts w:ascii="Garamond" w:hAnsi="Garamond"/>
          <w:lang w:val="en-GB"/>
        </w:rPr>
        <w:t xml:space="preserve"> delays and variability in intervention delivery are the principal risks. These will be mitigated through recruitment monitoring, </w:t>
      </w:r>
      <w:proofErr w:type="spellStart"/>
      <w:r w:rsidR="00184532" w:rsidRPr="00184532">
        <w:rPr>
          <w:rFonts w:ascii="Garamond" w:hAnsi="Garamond"/>
          <w:lang w:val="en-GB"/>
        </w:rPr>
        <w:t>QuinteT</w:t>
      </w:r>
      <w:proofErr w:type="spellEnd"/>
      <w:r w:rsidR="00184532" w:rsidRPr="00184532">
        <w:rPr>
          <w:rFonts w:ascii="Garamond" w:hAnsi="Garamond"/>
          <w:lang w:val="en-GB"/>
        </w:rPr>
        <w:t>-based barrier identification</w:t>
      </w:r>
      <w:r w:rsidRPr="005F5A72">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{"citationID":"pbl7VBNz","properties":{"unsorted":false,"formattedCitation":"\\super 21\\nosupersub{}","plainCitation":"21","noteIndex":0},"citationItems":[{"id":4,"uris":["http://zotero.org/users/19619518/items/KAWI469X"],"itemData":{"id":4,"type":"article-journal","container-title":"Trials","DOI":"10.1186/s13063-016-1391-4","ISSN":"1745-6215","issue":"1","journalAbbreviation":"Trials","language":"en","page":"283","source":"DOI.org (Crossref)","title":"Optimising recruitment and informed consent in randomised controlled trials: the development and implementation of the Quintet Recruitment Intervention (QRI)","title-short":"Optimising recruitment and informed consent in randomised controlled trials","volume":"17","author":[{"family":"Donovan","given":"Jenny L."},{"family":"Rooshenas","given":"Leila"},{"family":"Jepson","given":"Marcus"},{"family":"Elliott","given":"Daisy"},{"family":"Wade","given":"Julia"},{"family":"Avery","given":"Kerry"},{"family":"Mills","given":"Nicola"},{"family":"Wilson","given":"Caroline"},{"family":"Paramasivan","given":"Sangeetha"},{"family":"Blazeby","given":"Jane M."}],"issued":{"date-parts":[["2016",12]]}}}],"schema":"https://github.com/citation-style-language/schema/raw/master/csl-citation.json"}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21</w:t>
      </w:r>
      <w:r w:rsidR="00AB331B" w:rsidRPr="005F5A72">
        <w:rPr>
          <w:rFonts w:ascii="Garamond" w:hAnsi="Garamond"/>
          <w:lang w:val="en-US"/>
        </w:rPr>
        <w:fldChar w:fldCharType="end"/>
      </w:r>
      <w:r w:rsidRPr="005F5A72">
        <w:rPr>
          <w:rFonts w:ascii="Garamond" w:hAnsi="Garamond"/>
          <w:lang w:val="en-US"/>
        </w:rPr>
        <w:t xml:space="preserve"> </w:t>
      </w:r>
      <w:r w:rsidR="00A2143A" w:rsidRPr="00A2143A">
        <w:rPr>
          <w:rFonts w:ascii="Garamond" w:hAnsi="Garamond"/>
          <w:lang w:val="en-GB"/>
        </w:rPr>
        <w:t xml:space="preserve">standardised operating procedures, investigator training, and intervention-fidelity assessments following NIH </w:t>
      </w:r>
      <w:proofErr w:type="spellStart"/>
      <w:r w:rsidR="00A2143A" w:rsidRPr="00A2143A">
        <w:rPr>
          <w:rFonts w:ascii="Garamond" w:hAnsi="Garamond"/>
          <w:lang w:val="en-GB"/>
        </w:rPr>
        <w:t>Behavior</w:t>
      </w:r>
      <w:proofErr w:type="spellEnd"/>
      <w:r w:rsidR="00A2143A" w:rsidRPr="00A2143A">
        <w:rPr>
          <w:rFonts w:ascii="Garamond" w:hAnsi="Garamond"/>
          <w:lang w:val="en-GB"/>
        </w:rPr>
        <w:t xml:space="preserve"> Change Consortium recommendation</w:t>
      </w:r>
      <w:r w:rsidR="00A2143A">
        <w:rPr>
          <w:rFonts w:ascii="Garamond" w:hAnsi="Garamond"/>
          <w:lang w:val="en-GB"/>
        </w:rPr>
        <w:t>s</w:t>
      </w:r>
      <w:r w:rsidRPr="005F5A72">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{"citationID":"sebcoafx","properties":{"unsorted":false,"formattedCitation":"\\super 22\\nosupersub{}","plainCitation":"22","noteIndex":0},"citationItems":[{"id":8,"uris":["http://zotero.org/users/19619518/items/JHQH4TWT"],"itemData":{"id":8,"type":"article-journal","container-title":"Health Psychology","DOI":"10.1037/0278-6133.23.5.443","ISSN":"1930-7810, 0278-6133","issue":"5","journalAbbreviation":"Health Psychology","language":"en","page":"443-451","source":"DOI.org (Crossref)","title":"Enhancing Treatment Fidelity in Health Behavior Change Studies: Best Practices and Recommendations From the NIH Behavior Change Consortium.","title-short":"Enhancing Treatment Fidelity in Health Behavior Change Studies","volume":"23","author":[{"family":"Bellg","given":"Albert J."},{"family":"Borrelli","given":"Belinda"},{"family":"Resnick","given":"Barbara"},{"family":"Hecht","given":"Jacki"},{"family":"Minicucci","given":"Daryl Sharp"},{"family":"Ory","given":"Marcia"},{"family":"Ogedegbe","given":"Gbenga"},{"family":"Orwig","given":"Denise"},{"family":"Ernst","given":"Denise"},{"family":"Czajkowski","given":"Susan"},{"literal":"Treatment Fidelity Workgroup of the NIH Behavior Change Consortium"}],"issued":{"date-parts":[["2004"]]}}}],"schema":"https://github.com/citation-style-language/schema/raw/master/csl-citation.json"}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rPr>
        <w:t>22</w:t>
      </w:r>
      <w:r w:rsidR="00AB331B" w:rsidRPr="005F5A72">
        <w:rPr>
          <w:rFonts w:ascii="Garamond" w:hAnsi="Garamond"/>
          <w:lang w:val="en-US"/>
        </w:rPr>
        <w:fldChar w:fldCharType="end"/>
      </w:r>
    </w:p>
    <w:p w14:paraId="168EABAF" w14:textId="77777777" w:rsidR="0046322F" w:rsidRDefault="0046322F" w:rsidP="004E57D3">
      <w:pPr>
        <w:spacing w:after="60"/>
        <w:jc w:val="both"/>
        <w:rPr>
          <w:rFonts w:ascii="Garamond" w:hAnsi="Garamond"/>
          <w:lang w:val="en-US"/>
        </w:rPr>
      </w:pPr>
    </w:p>
    <w:p w14:paraId="62E86F40" w14:textId="77777777" w:rsidR="0046322F" w:rsidRDefault="0046322F" w:rsidP="004E57D3">
      <w:pPr>
        <w:spacing w:after="60"/>
        <w:jc w:val="both"/>
        <w:rPr>
          <w:rFonts w:ascii="Garamond" w:hAnsi="Garamond"/>
          <w:lang w:val="en-US"/>
        </w:rPr>
      </w:pPr>
    </w:p>
    <w:p w14:paraId="00F95CC1" w14:textId="77777777" w:rsidR="007D5D60" w:rsidRPr="005F5A72" w:rsidRDefault="005309EE" w:rsidP="004E57D3">
      <w:pPr>
        <w:pBdr>
          <w:bottom w:val="single" w:sz="6" w:space="2" w:color="2A7F8E"/>
        </w:pBdr>
        <w:spacing w:after="60"/>
        <w:rPr>
          <w:rFonts w:ascii="Garamond" w:hAnsi="Garamond"/>
          <w:lang w:val="en-US"/>
        </w:rPr>
      </w:pPr>
      <w:r w:rsidRPr="00815A84">
        <w:rPr>
          <w:rFonts w:ascii="Garamond" w:eastAsia="Calibri" w:hAnsi="Garamond"/>
          <w:b/>
          <w:bCs/>
          <w:color w:val="20415A"/>
          <w:sz w:val="28"/>
          <w:szCs w:val="28"/>
          <w:lang w:val="en-US"/>
        </w:rPr>
        <w:lastRenderedPageBreak/>
        <w:t>5</w:t>
      </w:r>
      <w:proofErr w:type="gramStart"/>
      <w:r w:rsidRPr="00815A84">
        <w:rPr>
          <w:rFonts w:ascii="Garamond" w:eastAsia="Calibri" w:hAnsi="Garamond"/>
          <w:b/>
          <w:bCs/>
          <w:color w:val="20415A"/>
          <w:sz w:val="28"/>
          <w:szCs w:val="28"/>
          <w:lang w:val="en-US"/>
        </w:rPr>
        <w:t>.  Conclusion</w:t>
      </w:r>
      <w:proofErr w:type="gramEnd"/>
      <w:r w:rsidRPr="00815A84">
        <w:rPr>
          <w:rFonts w:ascii="Garamond" w:eastAsia="Calibri" w:hAnsi="Garamond"/>
          <w:b/>
          <w:bCs/>
          <w:color w:val="20415A"/>
          <w:sz w:val="28"/>
          <w:szCs w:val="28"/>
          <w:lang w:val="en-US"/>
        </w:rPr>
        <w:t>: deliverables, related PhDs and pre-existing data</w:t>
      </w:r>
    </w:p>
    <w:p w14:paraId="4FA5A73E" w14:textId="7811FCC2" w:rsidR="00303C57" w:rsidRPr="00CE1C93" w:rsidRDefault="00D43FC7" w:rsidP="004E57D3">
      <w:pPr>
        <w:spacing w:after="60"/>
        <w:jc w:val="both"/>
        <w:rPr>
          <w:rFonts w:ascii="Garamond" w:hAnsi="Garamond"/>
          <w:lang w:val="en-GB"/>
        </w:rPr>
      </w:pPr>
      <w:r w:rsidRPr="005F5A72">
        <w:rPr>
          <w:rFonts w:ascii="Garamond" w:hAnsi="Garamond"/>
          <w:b/>
          <w:lang w:val="en-US"/>
        </w:rPr>
        <w:t xml:space="preserve">Expected deliverables. </w:t>
      </w:r>
      <w:r w:rsidR="00CE1C93" w:rsidRPr="00CE1C93">
        <w:rPr>
          <w:rFonts w:ascii="Garamond" w:hAnsi="Garamond"/>
          <w:lang w:val="en-GB"/>
        </w:rPr>
        <w:t>The project will deliver the first multicentre RCT evaluating PARADISE for diabetic foot-ulcer recurrence prevention within Belgian multidisciplinary DFCs.</w:t>
      </w:r>
    </w:p>
    <w:p w14:paraId="1D2725D5" w14:textId="39345CD8" w:rsidR="004E57D3" w:rsidRDefault="00CE1C93" w:rsidP="004E57D3">
      <w:pPr>
        <w:spacing w:after="60"/>
        <w:jc w:val="both"/>
        <w:rPr>
          <w:rFonts w:ascii="Garamond" w:hAnsi="Garamond"/>
          <w:lang w:val="en-US"/>
        </w:rPr>
      </w:pPr>
      <w:r>
        <w:rPr>
          <w:b/>
        </w:rPr>
        <w:t xml:space="preserve">Planned outputs. </w:t>
      </w:r>
      <w:r w:rsidRPr="00CE1C93">
        <w:rPr>
          <w:rFonts w:ascii="Garamond" w:hAnsi="Garamond"/>
          <w:lang w:val="en-GB"/>
        </w:rPr>
        <w:t>Seven manuscripts are planned. (1) The scoping review “Patient-specific offloading insole design in diabetic foot disease: a scoping review of biomechanical, clinical and health-economic evidence”, with the protocol registered before searching and reporting according to PRISMA-ScR (months 1–12). (2) The trial protocol paper, reported according to SPIRIT 2025 and TIDieR (months 1–9). (3) A method-comparison paper quantifying agreement and inter-rater reliability between the two in-shoe pressure systems used in Belgian DFCs (months 6–18). (4) Regional peak plantar-pressure reference values in people with diabetes, derived from low- and high-resolution in-shoe measurements (months 12–30). (5) Plantar-pressure redistribution achieved with custom-made foot orthoses in people with and without diabetes (months 18–36). (6) The primary effectiveness analysis of ulcer recurrence at 18 months (months 43–48). (7) The pre-specified mediation analysis of footwear adherence, including the full 18-month adherence profile (months 43–48). Trial publications will be reported according to CONSORT recommendations.</w:t>
      </w:r>
      <w:proofErr w:type="spellStart"/>
      <w:r w:rsidR="0034537E">
        <w:rPr>
          <w:rFonts w:ascii="Garamond" w:hAnsi="Garamond"/>
          <w:lang w:val="en-GB"/>
        </w:rPr>
      </w:r>
      <w:proofErr w:type="spellEnd"/>
      <w:r w:rsidRPr="00CE1C93">
        <w:rPr>
          <w:rFonts w:ascii="Garamond" w:hAnsi="Garamond"/>
          <w:lang w:val="en-GB"/>
        </w:rPr>
      </w:r>
      <w:r w:rsidR="00303C57" w:rsidRPr="005F5A72">
        <w:rPr>
          <w:rFonts w:ascii="Garamond" w:hAnsi="Garamond"/>
          <w:lang w:val="en-US"/>
        </w:rPr>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{"citationID":"VkDSg5nn","properties":{"unsorted":false,"formattedCitation":"\\super 23\\nosupersub{}","plainCitation":"23","noteIndex":0},"citationItems":[{"id":5,"uris":["http://zotero.org/users/19619518/items/RQTUK6NT"],"itemData":{"id":5,"type":"article-journal","abstract":"Abstract\n            \n              Background\n              Well designed and properly executed randomised trials are considered the most reliable evidence on the benefits of healthcare interventions. However, there is overwhelming evidence that the quality of reporting is not optimal. The CONSORT (Consolidated Standards of Reporting Trials) statement was designed to improve the quality of reporting and provides a minimum set of items to be included in a report of a randomised trial. CONSORT was first published in 1996, then updated in 2001 and 2010. Here, we present the updated CONSORT 2025 statement, which aims to account for recent methodological advancements and feedback from end users.\n            \n            \n              Methods\n              We conducted a scoping review of the literature and developed a project-specific database of empirical and theoretical evidence related to CONSORT, to generate a list of potential changes to the checklist. The list was enriched with recommendations provided by the lead authors of existing CONSORT extensions (Harms, Outcomes, Non-pharmacological Treatment), other related reporting guidelines (TIDieR) and recommendations from other sources (eg, personal communications). The list of potential changes to the checklist was assessed in a large, international, online, three-round Delphi survey involving 317 participants and discussed at a two-day online expert consensus meeting of 30 invited international experts.\n            \n            \n              Results\n              We have made substantive changes to the CONSORT checklist. We added seven new checklist items, revised three items, deleted one item, and integrated several items from key CONSORT extensions. We also restructured the CONSORT checklist, with a new section on open science. The CONSORT 2025 statement consists of a 30-item checklist of essential items that should be included when reporting the results of a randomised trial and a diagram for documenting the flow of participants through the trial. To facilitate implementation of CONSORT 2025, we have also developed an expanded version of the CONSORT 2025 checklist, with bullet points eliciting critical elements of each item.\n            \n            \n              Conclusion\n              Authors, editors, reviewers, and other potential users should use CONSORT 2025 when writing and evaluating manuscripts of randomised trials to ensure that trial reports are clear and transparent.","container-title":"BMJ","DOI":"10.1136/bmj-2024-081123","ISSN":"1756-1833","journalAbbreviation":"BMJ","language":"en","page":"e081123","source":"DOI.org (Crossref)","title":"CONSORT 2025 statement: updated guideline for reporting randomised trials","title-short":"CONSORT 2025 statement","volume":"389","author":[{"family":"Hopewell","given":"Sally"},{"family":"Chan","given":"An-Wen"},{"family":"Collins","given":"Gary S"},{"family":"Hróbjartsson","given":"Asbjørn"},{"family":"Moher","given":"David"},{"family":"Schulz","given":"Kenneth F"},{"family":"Tunn","given":"Ruth"},{"family":"Aggarwal","given":"Rakesh"},{"family":"Berkwits","given":"Michael"},{"family":"Berlin","given":"Jesse A"},{"family":"Bhandari","given":"Nita"},{"family":"Butcher","given":"Nancy J"},{"family":"Campbell","given":"Marion K"},{"family":"Chidebe","given":"Runcie C W"},{"family":"Elbourne","given":"Diana"},{"family":"Farmer","given":"Andrew"},{"family":"Fergusson","given":"Dean A"},{"family":"Golub","given":"Robert M"},{"family":"Goodman","given":"Steven N"},{"family":"Hoffmann","given":"Tammy C"},{"family":"Ioannidis","given":"John P A"},{"family":"Kahan","given":"Brennan C"},{"family":"Knowles","given":"Rachel L"},{"family":"Lamb","given":"Sarah E"},{"family":"Lewis","given":"Steff"},{"family":"Loder","given":"Elizabeth"},{"family":"Offringa","given":"Martin"},{"family":"Ravaud","given":"Philippe"},{"family":"Richards","given":"Dawn P"},{"family":"Rockhold","given":"Frank W"},{"family":"Schriger","given":"David L"},{"family":"Siegfried","given":"Nandi L"},{"family":"Staniszewska","given":"Sophie"},{"family":"Taylor","given":"Rod S"},{"family":"Thabane","given":"Lehana"},{"family":"Torgerson","given":"David"},{"family":"Vohra","given":"Sunita"},{"family":"White","given":"Ian R"},{"family":"Boutron","given":"Isabelle"}],"issued":{"date-parts":[["2025",4,14]]}}}],"schema":"https://github.com/citation-style-language/schema/raw/master/csl-citation.json"}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23</w:t>
      </w:r>
      <w:r w:rsidR="00AB331B" w:rsidRPr="005F5A72">
        <w:rPr>
          <w:rFonts w:ascii="Garamond" w:hAnsi="Garamond"/>
          <w:lang w:val="en-US"/>
        </w:rPr>
        <w:fldChar w:fldCharType="end"/>
      </w:r>
    </w:p>
    <w:p w14:paraId="240418CB" w14:textId="06F7487C" w:rsidR="0029137C" w:rsidRPr="004E57D3" w:rsidRDefault="00D43FC7" w:rsidP="004E57D3">
      <w:pPr>
        <w:spacing w:after="60"/>
        <w:jc w:val="both"/>
        <w:rPr>
          <w:rFonts w:ascii="Garamond" w:hAnsi="Garamond"/>
          <w:lang w:val="en-US"/>
        </w:rPr>
      </w:pPr>
      <w:r w:rsidRPr="005F5A72">
        <w:rPr>
          <w:rFonts w:ascii="Garamond" w:hAnsi="Garamond"/>
          <w:b/>
          <w:lang w:val="en-US"/>
        </w:rPr>
        <w:t xml:space="preserve">Pre-existing data. </w:t>
      </w:r>
      <w:r w:rsidR="00462EA7" w:rsidRPr="00462EA7">
        <w:rPr>
          <w:rFonts w:ascii="Garamond" w:hAnsi="Garamond"/>
          <w:lang w:val="en-GB"/>
        </w:rPr>
        <w:t>Pilot observations from a 2023–2024 pressure-guided footwear pathway may inform trial preparation; use will be assessed and approved by the doctoral committee.</w:t>
      </w:r>
    </w:p>
    <w:p w14:paraId="00F95CC5" w14:textId="77777777" w:rsidR="007D5D60" w:rsidRPr="00AC2906" w:rsidRDefault="005309EE" w:rsidP="004E57D3">
      <w:pPr>
        <w:pBdr>
          <w:bottom w:val="single" w:sz="6" w:space="2" w:color="2A7F8E"/>
        </w:pBdr>
        <w:spacing w:before="140" w:after="60"/>
        <w:rPr>
          <w:rFonts w:ascii="Garamond" w:hAnsi="Garamond"/>
          <w:sz w:val="28"/>
          <w:szCs w:val="28"/>
          <w:lang w:val="en-US"/>
        </w:rPr>
      </w:pPr>
      <w:r w:rsidRPr="00AC2906">
        <w:rPr>
          <w:rFonts w:ascii="Garamond" w:eastAsia="Calibri" w:hAnsi="Garamond"/>
          <w:b/>
          <w:bCs/>
          <w:color w:val="20415A"/>
          <w:sz w:val="28"/>
          <w:szCs w:val="28"/>
          <w:lang w:val="en-US"/>
        </w:rPr>
        <w:t>References</w:t>
      </w:r>
    </w:p>
    <w:p w14:paraId="62AF1F6E" w14:textId="77777777" w:rsidR="008D5F36" w:rsidRPr="005F5A72" w:rsidRDefault="008D5F36" w:rsidP="003316A9">
      <w:pPr>
        <w:pStyle w:val="Bibliografie"/>
        <w:spacing w:after="60"/>
        <w:ind w:left="0" w:firstLine="0"/>
        <w:rPr>
          <w:rFonts w:ascii="Garamond" w:hAnsi="Garamond"/>
          <w:lang w:val="en-US"/>
        </w:rPr>
        <w:sectPr w:rsidR="008D5F36" w:rsidRPr="005F5A72" w:rsidSect="00045568">
          <w:headerReference w:type="default" r:id="rId15"/>
          <w:footerReference w:type="default" r:id="rId16"/>
          <w:headerReference w:type="first" r:id="rId17"/>
          <w:footerReference w:type="first" r:id="rId18"/>
          <w:pgSz w:w="11906" w:h="16838"/>
          <w:pgMar w:top="1440" w:right="1080" w:bottom="1440" w:left="1080" w:header="708" w:footer="708" w:gutter="0"/>
          <w:cols w:space="708"/>
          <w:titlePg/>
          <w:docGrid w:linePitch="360"/>
        </w:sectPr>
      </w:pPr>
    </w:p>
    <w:p w14:paraId="7355BD10" w14:textId="40D43C83" w:rsidR="008D5F36" w:rsidRPr="0046322F" w:rsidRDefault="008D5F36" w:rsidP="004E57D3">
      <w:pPr>
        <w:spacing w:after="60"/>
        <w:rPr>
          <w:rFonts w:ascii="Garamond" w:hAnsi="Garamond"/>
          <w:sz w:val="16"/>
          <w:szCs w:val="16"/>
          <w:lang w:val="en-US"/>
        </w:rPr>
        <w:sectPr w:rsidR="008D5F36" w:rsidRPr="0046322F" w:rsidSect="003316A9">
          <w:type w:val="continuous"/>
          <w:pgSz w:w="11906" w:h="16838"/>
          <w:pgMar w:top="567" w:right="1077" w:bottom="964" w:left="1077" w:header="709" w:footer="709" w:gutter="0"/>
          <w:cols w:num="2" w:space="708"/>
          <w:titlePg/>
          <w:docGrid w:linePitch="360"/>
        </w:sectPr>
      </w:pPr>
    </w:p>
    <w:p w14:paraId="1B44C821" w14:textId="77777777" w:rsidR="00A275AD" w:rsidRPr="0046322F" w:rsidRDefault="00614557" w:rsidP="004E57D3">
      <w:pPr>
        <w:pStyle w:val="Bibliografie"/>
        <w:spacing w:after="60"/>
        <w:rPr>
          <w:sz w:val="16"/>
          <w:szCs w:val="16"/>
          <w:lang w:val="en-GB"/>
        </w:rPr>
      </w:pPr>
      <w:r w:rsidRPr="0046322F">
        <w:rPr>
          <w:rFonts w:ascii="Garamond" w:hAnsi="Garamond"/>
          <w:sz w:val="16"/>
          <w:szCs w:val="16"/>
          <w:lang w:val="en-US"/>
        </w:rPr>
        <w:fldChar w:fldCharType="begin"/>
      </w:r>
      <w:r w:rsidR="00A275AD" w:rsidRPr="0046322F">
        <w:rPr>
          <w:rFonts w:ascii="Garamond" w:hAnsi="Garamond"/>
          <w:sz w:val="16"/>
          <w:szCs w:val="16"/>
          <w:lang w:val="en-US"/>
        </w:rPr>
        <w:instrText xml:space="preserve"> ADDIN ZOTERO_BIBL {"uncited":[],"omitted":[],"custom":[]} CSL_BIBLIOGRAPHY </w:instrText>
      </w:r>
      <w:r w:rsidRPr="0046322F">
        <w:rPr>
          <w:rFonts w:ascii="Garamond" w:hAnsi="Garamond"/>
          <w:sz w:val="16"/>
          <w:szCs w:val="16"/>
          <w:lang w:val="en-US"/>
        </w:rPr>
        <w:fldChar w:fldCharType="separate"/>
      </w:r>
      <w:r w:rsidR="00A275AD" w:rsidRPr="0046322F">
        <w:rPr>
          <w:sz w:val="16"/>
          <w:szCs w:val="16"/>
          <w:lang w:val="en-GB"/>
        </w:rPr>
        <w:t>1.</w:t>
      </w:r>
      <w:r w:rsidR="00A275AD" w:rsidRPr="0046322F">
        <w:rPr>
          <w:sz w:val="16"/>
          <w:szCs w:val="16"/>
          <w:lang w:val="en-GB"/>
        </w:rPr>
        <w:tab/>
        <w:t>Kamogawa M, Kajiwara K, Sakuramoto H, Yamamoto K. Non-pharmacological Interventions for the Prevention and Progression of Diabetic Foot Ulcers in Individuals With Type 2 Diabetes Mellitus: A Scoping Review. Cureus. 2026;18:e100710.</w:t>
      </w:r>
    </w:p>
    <w:p w14:paraId="38BE5B1A" w14:textId="77777777" w:rsidR="00A275AD" w:rsidRPr="0046322F" w:rsidRDefault="00A275AD" w:rsidP="004E57D3">
      <w:pPr>
        <w:pStyle w:val="Bibliografie"/>
        <w:spacing w:after="60"/>
        <w:rPr>
          <w:sz w:val="16"/>
          <w:szCs w:val="16"/>
          <w:lang w:val="en-GB"/>
        </w:rPr>
      </w:pPr>
      <w:r w:rsidRPr="0046322F">
        <w:rPr>
          <w:sz w:val="16"/>
          <w:szCs w:val="16"/>
          <w:lang w:val="en-GB"/>
        </w:rPr>
        <w:t>2.</w:t>
      </w:r>
      <w:r w:rsidRPr="0046322F">
        <w:rPr>
          <w:sz w:val="16"/>
          <w:szCs w:val="16"/>
          <w:lang w:val="en-GB"/>
        </w:rPr>
        <w:tab/>
        <w:t>admin-sciensano. For a Healthy Belgium [Internet]. 2025 [geciteerd 4 juni 2026]. Diabetes.</w:t>
      </w:r>
    </w:p>
    <w:p w14:paraId="79B9C85D" w14:textId="77777777" w:rsidR="00A275AD" w:rsidRPr="0046322F" w:rsidRDefault="00A275AD" w:rsidP="004E57D3">
      <w:pPr>
        <w:pStyle w:val="Bibliografie"/>
        <w:spacing w:after="60"/>
        <w:rPr>
          <w:sz w:val="16"/>
          <w:szCs w:val="16"/>
          <w:lang w:val="en-GB"/>
        </w:rPr>
      </w:pPr>
      <w:r w:rsidRPr="0046322F">
        <w:rPr>
          <w:sz w:val="16"/>
          <w:szCs w:val="16"/>
          <w:lang w:val="en-GB"/>
        </w:rPr>
        <w:t>3.</w:t>
      </w:r>
      <w:r w:rsidRPr="0046322F">
        <w:rPr>
          <w:sz w:val="16"/>
          <w:szCs w:val="16"/>
          <w:lang w:val="en-GB"/>
        </w:rPr>
        <w:tab/>
        <w:t>Waaijman R, De Haart M, Arts MLJ, Wever D, Verlouw AJWE, Nollet F, e.a. Risk Factors for Plantar Foot Ulcer Recurrence in Neuropathic Diabetic Patients. Diabetes Care. 2014;37:1697-705.</w:t>
      </w:r>
    </w:p>
    <w:p w14:paraId="67488268" w14:textId="77777777" w:rsidR="00A275AD" w:rsidRPr="0046322F" w:rsidRDefault="00A275AD" w:rsidP="004E57D3">
      <w:pPr>
        <w:pStyle w:val="Bibliografie"/>
        <w:spacing w:after="60"/>
        <w:rPr>
          <w:sz w:val="16"/>
          <w:szCs w:val="16"/>
          <w:lang w:val="en-GB"/>
        </w:rPr>
      </w:pPr>
      <w:r w:rsidRPr="0046322F">
        <w:rPr>
          <w:sz w:val="16"/>
          <w:szCs w:val="16"/>
          <w:lang w:val="en-GB"/>
        </w:rPr>
        <w:t>4.</w:t>
      </w:r>
      <w:r w:rsidRPr="0046322F">
        <w:rPr>
          <w:sz w:val="16"/>
          <w:szCs w:val="16"/>
          <w:lang w:val="en-GB"/>
        </w:rPr>
        <w:tab/>
        <w:t>Bouly M, Laborne FX, Tourte C, Henry E, Penfornis A, Dardari D. The Post-Healing Follow-Up of Diabetic Foot Ulcers by a Multidisciplinary Team to Reduce Their Recurrence: An Observational Retrospective Study. J Clin Med. 2025;14:4975.</w:t>
      </w:r>
    </w:p>
    <w:p w14:paraId="63BFBBE7" w14:textId="77777777" w:rsidR="00A275AD" w:rsidRPr="0046322F" w:rsidRDefault="00A275AD" w:rsidP="004E57D3">
      <w:pPr>
        <w:pStyle w:val="Bibliografie"/>
        <w:spacing w:after="60"/>
        <w:rPr>
          <w:sz w:val="16"/>
          <w:szCs w:val="16"/>
        </w:rPr>
      </w:pPr>
      <w:r w:rsidRPr="0046322F">
        <w:rPr>
          <w:sz w:val="16"/>
          <w:szCs w:val="16"/>
          <w:lang w:val="en-GB"/>
        </w:rPr>
        <w:t>5.</w:t>
      </w:r>
      <w:r w:rsidRPr="0046322F">
        <w:rPr>
          <w:sz w:val="16"/>
          <w:szCs w:val="16"/>
          <w:lang w:val="en-GB"/>
        </w:rPr>
        <w:tab/>
        <w:t xml:space="preserve">Bus SA, Waaijman R, Arts M, De Haart M, Busch-Westbroek T, Van Baal J, e.a. Effect of Custom-Made Footwear on Foot Ulcer Recurrence in Diabetes. </w:t>
      </w:r>
      <w:r w:rsidRPr="0046322F">
        <w:rPr>
          <w:sz w:val="16"/>
          <w:szCs w:val="16"/>
        </w:rPr>
        <w:t>Diabetes Care. 2013;36:4109-16.</w:t>
      </w:r>
    </w:p>
    <w:p w14:paraId="4D986AE1" w14:textId="77777777" w:rsidR="00A275AD" w:rsidRPr="0046322F" w:rsidRDefault="00A275AD" w:rsidP="004E57D3">
      <w:pPr>
        <w:pStyle w:val="Bibliografie"/>
        <w:spacing w:after="60"/>
        <w:rPr>
          <w:sz w:val="16"/>
          <w:szCs w:val="16"/>
          <w:lang w:val="en-GB"/>
        </w:rPr>
      </w:pPr>
      <w:r w:rsidRPr="0046322F">
        <w:rPr>
          <w:sz w:val="16"/>
          <w:szCs w:val="16"/>
        </w:rPr>
        <w:t>6.</w:t>
      </w:r>
      <w:r w:rsidRPr="0046322F">
        <w:rPr>
          <w:sz w:val="16"/>
          <w:szCs w:val="16"/>
        </w:rPr>
        <w:tab/>
        <w:t xml:space="preserve">Waaijman R, Keukenkamp R, De Haart M, Polomski WP, Nollet F, Bus SA. </w:t>
      </w:r>
      <w:r w:rsidRPr="0046322F">
        <w:rPr>
          <w:sz w:val="16"/>
          <w:szCs w:val="16"/>
          <w:lang w:val="en-GB"/>
        </w:rPr>
        <w:t>Adherence to Wearing Prescription Custom-Made Footwear in Patients With Diabetes at High Risk for Plantar Foot Ulceration. Diabetes Care. 2013;36:1613-8.</w:t>
      </w:r>
    </w:p>
    <w:p w14:paraId="6B490B08" w14:textId="77777777" w:rsidR="00A275AD" w:rsidRPr="0046322F" w:rsidRDefault="00A275AD" w:rsidP="004E57D3">
      <w:pPr>
        <w:pStyle w:val="Bibliografie"/>
        <w:spacing w:after="60"/>
        <w:rPr>
          <w:sz w:val="16"/>
          <w:szCs w:val="16"/>
          <w:lang w:val="en-GB"/>
        </w:rPr>
      </w:pPr>
      <w:r w:rsidRPr="0046322F">
        <w:rPr>
          <w:sz w:val="16"/>
          <w:szCs w:val="16"/>
          <w:lang w:val="en-GB"/>
        </w:rPr>
        <w:t>7.</w:t>
      </w:r>
      <w:r w:rsidRPr="0046322F">
        <w:rPr>
          <w:sz w:val="16"/>
          <w:szCs w:val="16"/>
          <w:lang w:val="en-GB"/>
        </w:rPr>
        <w:tab/>
        <w:t>Exterkate SH, Jongebloed‐Westra M, Ten Klooster PM, Koffijberg H, Bode C, Van Gemert‐Pijnen JEWC, e.a. Objectively assessed long‐term wearing patterns and predictors of wearing orthopaedic footwear in people with diabetes at moderate‐to‐high risk of foot ulceration: a 12 months observational study. J Foot Ankle Res. 2023;16:60.</w:t>
      </w:r>
    </w:p>
    <w:p w14:paraId="6C39352E" w14:textId="77777777" w:rsidR="00A275AD" w:rsidRPr="0046322F" w:rsidRDefault="00A275AD" w:rsidP="004E57D3">
      <w:pPr>
        <w:pStyle w:val="Bibliografie"/>
        <w:spacing w:after="60"/>
        <w:rPr>
          <w:sz w:val="16"/>
          <w:szCs w:val="16"/>
          <w:lang w:val="en-GB"/>
        </w:rPr>
      </w:pPr>
      <w:r w:rsidRPr="0046322F">
        <w:rPr>
          <w:sz w:val="16"/>
          <w:szCs w:val="16"/>
          <w:lang w:val="en-GB"/>
        </w:rPr>
        <w:t>8.</w:t>
      </w:r>
      <w:r w:rsidRPr="0046322F">
        <w:rPr>
          <w:sz w:val="16"/>
          <w:szCs w:val="16"/>
          <w:lang w:val="en-GB"/>
        </w:rPr>
        <w:tab/>
        <w:t>Goodall RJ, Ellauzi J, Tan MKH, Onida S, Davies AH, Shalhoub J. A Systematic Review of the Impact of Foot Care Education on Self Efficacy and Self Care in Patients With Diabetes. Eur J Vasc Endovasc Surg. 2020;60:282-92.</w:t>
      </w:r>
    </w:p>
    <w:p w14:paraId="69BA088A" w14:textId="77777777" w:rsidR="00A275AD" w:rsidRPr="0046322F" w:rsidRDefault="00A275AD" w:rsidP="004E57D3">
      <w:pPr>
        <w:pStyle w:val="Bibliografie"/>
        <w:spacing w:after="60"/>
        <w:rPr>
          <w:sz w:val="16"/>
          <w:szCs w:val="16"/>
          <w:lang w:val="en-GB"/>
        </w:rPr>
      </w:pPr>
      <w:r w:rsidRPr="0046322F">
        <w:rPr>
          <w:sz w:val="16"/>
          <w:szCs w:val="16"/>
          <w:lang w:val="en-GB"/>
        </w:rPr>
        <w:t>9.</w:t>
      </w:r>
      <w:r w:rsidRPr="0046322F">
        <w:rPr>
          <w:sz w:val="16"/>
          <w:szCs w:val="16"/>
          <w:lang w:val="en-GB"/>
        </w:rPr>
        <w:tab/>
        <w:t>Michie S, Van Stralen MM, West R. The behaviour change wheel: A new method for characterising and designing behaviour change interventions. Implement Sci. 2011;6:42.</w:t>
      </w:r>
    </w:p>
    <w:p w14:paraId="20E68674" w14:textId="77777777" w:rsidR="00A275AD" w:rsidRPr="0046322F" w:rsidRDefault="00A275AD" w:rsidP="004E57D3">
      <w:pPr>
        <w:pStyle w:val="Bibliografie"/>
        <w:spacing w:after="60"/>
        <w:rPr>
          <w:sz w:val="16"/>
          <w:szCs w:val="16"/>
          <w:lang w:val="en-GB"/>
        </w:rPr>
      </w:pPr>
      <w:r w:rsidRPr="0046322F">
        <w:rPr>
          <w:sz w:val="16"/>
          <w:szCs w:val="16"/>
          <w:lang w:val="en-GB"/>
        </w:rPr>
        <w:t>10.</w:t>
      </w:r>
      <w:r w:rsidRPr="0046322F">
        <w:rPr>
          <w:sz w:val="16"/>
          <w:szCs w:val="16"/>
          <w:lang w:val="en-GB"/>
        </w:rPr>
        <w:tab/>
        <w:t>Michie S, Richardson M, Johnston M, Abraham C, Francis J, Hardeman W, e.a. The Behavior Change Technique Taxonomy (v1) of 93 Hierarchically Clustered Techniques: Building an International Consensus for the Reporting of Behavior Change Interventions. Ann Behav Med. 2013;46:81-95.</w:t>
      </w:r>
    </w:p>
    <w:p w14:paraId="46C0CE55" w14:textId="77777777" w:rsidR="00A275AD" w:rsidRPr="0046322F" w:rsidRDefault="00A275AD" w:rsidP="004E57D3">
      <w:pPr>
        <w:pStyle w:val="Bibliografie"/>
        <w:spacing w:after="60"/>
        <w:rPr>
          <w:sz w:val="16"/>
          <w:szCs w:val="16"/>
          <w:lang w:val="en-GB"/>
        </w:rPr>
      </w:pPr>
      <w:r w:rsidRPr="0046322F">
        <w:rPr>
          <w:sz w:val="16"/>
          <w:szCs w:val="16"/>
          <w:lang w:val="en-GB"/>
        </w:rPr>
        <w:t>11.</w:t>
      </w:r>
      <w:r w:rsidRPr="0046322F">
        <w:rPr>
          <w:sz w:val="16"/>
          <w:szCs w:val="16"/>
          <w:lang w:val="en-GB"/>
        </w:rPr>
        <w:tab/>
        <w:t>Van Netten JJ, Vossen LE, Driebergen FM, Wolthuis D, Merkx MJM, Bus SA. Short-Term Efficacy of a Multi-Modal Intervention Program to Improve Custom-Made Footwear Use in People at High Risk of Diabetes-Related Foot Ulceration. J Clin Med. 2025;14:3635.</w:t>
      </w:r>
    </w:p>
    <w:p w14:paraId="6DB86393" w14:textId="77777777" w:rsidR="00A275AD" w:rsidRPr="0046322F" w:rsidRDefault="00A275AD" w:rsidP="004E57D3">
      <w:pPr>
        <w:pStyle w:val="Bibliografie"/>
        <w:spacing w:after="60"/>
        <w:rPr>
          <w:sz w:val="16"/>
          <w:szCs w:val="16"/>
          <w:lang w:val="en-GB"/>
        </w:rPr>
      </w:pPr>
      <w:r w:rsidRPr="0046322F">
        <w:rPr>
          <w:sz w:val="16"/>
          <w:szCs w:val="16"/>
          <w:lang w:val="en-GB"/>
        </w:rPr>
        <w:t>12.</w:t>
      </w:r>
      <w:r w:rsidRPr="0046322F">
        <w:rPr>
          <w:sz w:val="16"/>
          <w:szCs w:val="16"/>
          <w:lang w:val="en-GB"/>
        </w:rPr>
        <w:tab/>
        <w:t xml:space="preserve">López-Moral M, Molines-Barroso RJ, Herrera-Casamayor M, García-Madrid M, García-Morales E, Lázaro-Martínez JL. Usability of Different Methods to Assess and Improve Adherence to Therapeutic Footwear in Persons with the Diabetic Foot in </w:t>
      </w:r>
      <w:r w:rsidRPr="0046322F">
        <w:rPr>
          <w:sz w:val="16"/>
          <w:szCs w:val="16"/>
          <w:lang w:val="en-GB"/>
        </w:rPr>
        <w:t>Remission. A Systematic Review. Int J Low Extrem Wounds. 2026;25:55-64.</w:t>
      </w:r>
    </w:p>
    <w:p w14:paraId="55D0F04B" w14:textId="77777777" w:rsidR="00A275AD" w:rsidRPr="0046322F" w:rsidRDefault="00A275AD" w:rsidP="004E57D3">
      <w:pPr>
        <w:pStyle w:val="Bibliografie"/>
        <w:spacing w:after="60"/>
        <w:rPr>
          <w:sz w:val="16"/>
          <w:szCs w:val="16"/>
          <w:lang w:val="en-GB"/>
        </w:rPr>
      </w:pPr>
      <w:r w:rsidRPr="0046322F">
        <w:rPr>
          <w:sz w:val="16"/>
          <w:szCs w:val="16"/>
          <w:lang w:val="en-GB"/>
        </w:rPr>
        <w:t>13.</w:t>
      </w:r>
      <w:r w:rsidRPr="0046322F">
        <w:rPr>
          <w:sz w:val="16"/>
          <w:szCs w:val="16"/>
          <w:lang w:val="en-GB"/>
        </w:rPr>
        <w:tab/>
        <w:t>Lutjeboer T, Netten J, Postema K, Hijmans J. Effect of awareness of being monitored on wearing of orthopaedic footwear. J Rehabil Med. 2020;52:jrm00127.</w:t>
      </w:r>
    </w:p>
    <w:p w14:paraId="4B9F4AAE" w14:textId="77777777" w:rsidR="00A275AD" w:rsidRPr="0046322F" w:rsidRDefault="00A275AD" w:rsidP="004E57D3">
      <w:pPr>
        <w:pStyle w:val="Bibliografie"/>
        <w:spacing w:after="60"/>
        <w:rPr>
          <w:sz w:val="16"/>
          <w:szCs w:val="16"/>
          <w:lang w:val="en-GB"/>
        </w:rPr>
      </w:pPr>
      <w:r w:rsidRPr="0046322F">
        <w:rPr>
          <w:sz w:val="16"/>
          <w:szCs w:val="16"/>
          <w:lang w:val="en-GB"/>
        </w:rPr>
        <w:t>14.</w:t>
      </w:r>
      <w:r w:rsidRPr="0046322F">
        <w:rPr>
          <w:sz w:val="16"/>
          <w:szCs w:val="16"/>
          <w:lang w:val="en-GB"/>
        </w:rPr>
        <w:tab/>
        <w:t>Jongebloed-Westra M, Bode C, Van Netten JJ, Ten Klooster PM, Exterkate SH, Koffijberg H, e.a. Using motivational interviewing combined with digital shoe-fitting to improve adherence to wearing orthopedic shoes in people with diabetes at risk of foot ulceration: study protocol for a cluster-randomized controlled trial. Trials. 2021;22:750.</w:t>
      </w:r>
    </w:p>
    <w:p w14:paraId="3900E275" w14:textId="77777777" w:rsidR="00A275AD" w:rsidRPr="0046322F" w:rsidRDefault="00A275AD" w:rsidP="004E57D3">
      <w:pPr>
        <w:pStyle w:val="Bibliografie"/>
        <w:spacing w:after="60"/>
        <w:rPr>
          <w:sz w:val="16"/>
          <w:szCs w:val="16"/>
          <w:lang w:val="en-GB"/>
        </w:rPr>
      </w:pPr>
      <w:r w:rsidRPr="0046322F">
        <w:rPr>
          <w:sz w:val="16"/>
          <w:szCs w:val="16"/>
          <w:lang w:val="en-GB"/>
        </w:rPr>
        <w:t>15.</w:t>
      </w:r>
      <w:r w:rsidRPr="0046322F">
        <w:rPr>
          <w:sz w:val="16"/>
          <w:szCs w:val="16"/>
          <w:lang w:val="en-GB"/>
        </w:rPr>
        <w:tab/>
        <w:t>Vossen LE, Van Netten JJ, Bakker CD, Berendsen HA, Busch-Westbroek TE, Peters EJG, e.a. An integrated personalized assistive devices approach to reduce the risk of foot ulcer recurrence in diabetes (DIASSIST): study protocol for a multicenter randomized controlled trial. Trials. 2023;24:663.</w:t>
      </w:r>
    </w:p>
    <w:p w14:paraId="71FC75E5" w14:textId="77777777" w:rsidR="00A275AD" w:rsidRPr="0046322F" w:rsidRDefault="00A275AD" w:rsidP="004E57D3">
      <w:pPr>
        <w:pStyle w:val="Bibliografie"/>
        <w:spacing w:after="60"/>
        <w:rPr>
          <w:sz w:val="16"/>
          <w:szCs w:val="16"/>
          <w:lang w:val="en-GB"/>
        </w:rPr>
      </w:pPr>
      <w:r w:rsidRPr="0046322F">
        <w:rPr>
          <w:sz w:val="16"/>
          <w:szCs w:val="16"/>
          <w:lang w:val="en-GB"/>
        </w:rPr>
        <w:t>16.</w:t>
      </w:r>
      <w:r w:rsidRPr="0046322F">
        <w:rPr>
          <w:sz w:val="16"/>
          <w:szCs w:val="16"/>
          <w:lang w:val="en-GB"/>
        </w:rPr>
        <w:tab/>
        <w:t>White IR, Royston P, Wood AM. Multiple imputation using chained equations: Issues and guidance for practice. Stat Med. 2011;30:377-99.</w:t>
      </w:r>
    </w:p>
    <w:p w14:paraId="7D43D8C2" w14:textId="77777777" w:rsidR="00A275AD" w:rsidRPr="0046322F" w:rsidRDefault="00A275AD" w:rsidP="004E57D3">
      <w:pPr>
        <w:pStyle w:val="Bibliografie"/>
        <w:spacing w:after="60"/>
        <w:rPr>
          <w:sz w:val="16"/>
          <w:szCs w:val="16"/>
          <w:lang w:val="en-GB"/>
        </w:rPr>
      </w:pPr>
      <w:r w:rsidRPr="0046322F">
        <w:rPr>
          <w:sz w:val="16"/>
          <w:szCs w:val="16"/>
          <w:lang w:val="en-GB"/>
        </w:rPr>
        <w:t>17.</w:t>
      </w:r>
      <w:r w:rsidRPr="0046322F">
        <w:rPr>
          <w:sz w:val="16"/>
          <w:szCs w:val="16"/>
          <w:lang w:val="en-GB"/>
        </w:rPr>
        <w:tab/>
        <w:t>Mallinckrodt C, Lipkovich I, Dickson S, Hendrix S, Molenberghs G. Handling Missing Data in Participants with Baseline but No Post‐Baseline Data. Pharm Stat. 2026;25:e70076.</w:t>
      </w:r>
    </w:p>
    <w:p w14:paraId="2EDF935F" w14:textId="77777777" w:rsidR="00A275AD" w:rsidRPr="0046322F" w:rsidRDefault="00A275AD" w:rsidP="004E57D3">
      <w:pPr>
        <w:pStyle w:val="Bibliografie"/>
        <w:spacing w:after="60"/>
        <w:rPr>
          <w:sz w:val="16"/>
          <w:szCs w:val="16"/>
          <w:lang w:val="en-GB"/>
        </w:rPr>
      </w:pPr>
      <w:r w:rsidRPr="0046322F">
        <w:rPr>
          <w:sz w:val="16"/>
          <w:szCs w:val="16"/>
          <w:lang w:val="en-GB"/>
        </w:rPr>
        <w:t>18.</w:t>
      </w:r>
      <w:r w:rsidRPr="0046322F">
        <w:rPr>
          <w:sz w:val="16"/>
          <w:szCs w:val="16"/>
          <w:lang w:val="en-GB"/>
        </w:rPr>
        <w:tab/>
        <w:t>Herdman M, Gudex C, Lloyd A, Janssen Mf, Kind P, Parkin D, e.a. Development and preliminary testing of the new five-level version of EQ-5D (EQ-5D-5L). Qual Life Res. 2011;20:1727-36.</w:t>
      </w:r>
    </w:p>
    <w:p w14:paraId="522577F5" w14:textId="77777777" w:rsidR="00A275AD" w:rsidRPr="0046322F" w:rsidRDefault="00A275AD" w:rsidP="004E57D3">
      <w:pPr>
        <w:pStyle w:val="Bibliografie"/>
        <w:spacing w:after="60"/>
        <w:rPr>
          <w:sz w:val="16"/>
          <w:szCs w:val="16"/>
          <w:lang w:val="en-GB"/>
        </w:rPr>
      </w:pPr>
      <w:r w:rsidRPr="0046322F">
        <w:rPr>
          <w:sz w:val="16"/>
          <w:szCs w:val="16"/>
          <w:lang w:val="en-GB"/>
        </w:rPr>
        <w:t>19.</w:t>
      </w:r>
      <w:r w:rsidRPr="0046322F">
        <w:rPr>
          <w:sz w:val="16"/>
          <w:szCs w:val="16"/>
          <w:lang w:val="en-GB"/>
        </w:rPr>
        <w:tab/>
        <w:t>Chan AW, Boutron I, Hopewell S, Moher D, Schulz KF, Collins GS, e.a. SPIRIT 2025 statement: updated guideline for protocols of randomised trials. BMJ. 2025;389:e081477.</w:t>
      </w:r>
    </w:p>
    <w:p w14:paraId="0277C0AF" w14:textId="77777777" w:rsidR="00A275AD" w:rsidRPr="0046322F" w:rsidRDefault="00A275AD" w:rsidP="004E57D3">
      <w:pPr>
        <w:pStyle w:val="Bibliografie"/>
        <w:spacing w:after="60"/>
        <w:rPr>
          <w:sz w:val="16"/>
          <w:szCs w:val="16"/>
          <w:lang w:val="en-GB"/>
        </w:rPr>
      </w:pPr>
      <w:r w:rsidRPr="0046322F">
        <w:rPr>
          <w:sz w:val="16"/>
          <w:szCs w:val="16"/>
          <w:lang w:val="en-GB"/>
        </w:rPr>
        <w:t>20.</w:t>
      </w:r>
      <w:r w:rsidRPr="0046322F">
        <w:rPr>
          <w:sz w:val="16"/>
          <w:szCs w:val="16"/>
          <w:lang w:val="en-GB"/>
        </w:rPr>
        <w:tab/>
        <w:t>Jacques RM, Ahmed R, Harper J, Ranjan A, Saeed I, Simpson RM, e.a. Recruitment, consent and retention of participants in randomised controlled trials: a review of trials published in the National Institute for Health Research (NIHR) Journals Library (1997–2020). BMJ Open. 2022;12:e059230.</w:t>
      </w:r>
    </w:p>
    <w:p w14:paraId="4727A269" w14:textId="77777777" w:rsidR="00A275AD" w:rsidRPr="0046322F" w:rsidRDefault="00A275AD" w:rsidP="004E57D3">
      <w:pPr>
        <w:pStyle w:val="Bibliografie"/>
        <w:spacing w:after="60"/>
        <w:rPr>
          <w:sz w:val="16"/>
          <w:szCs w:val="16"/>
          <w:lang w:val="en-GB"/>
        </w:rPr>
      </w:pPr>
      <w:r w:rsidRPr="0046322F">
        <w:rPr>
          <w:sz w:val="16"/>
          <w:szCs w:val="16"/>
          <w:lang w:val="en-GB"/>
        </w:rPr>
        <w:t>21.</w:t>
      </w:r>
      <w:r w:rsidRPr="0046322F">
        <w:rPr>
          <w:sz w:val="16"/>
          <w:szCs w:val="16"/>
          <w:lang w:val="en-GB"/>
        </w:rPr>
        <w:tab/>
        <w:t>Donovan JL, Rooshenas L, Jepson M, Elliott D, Wade J, Avery K, e.a. Optimising recruitment and informed consent in randomised controlled trials: the development and implementation of the Quintet Recruitment Intervention (QRI). Trials. 2016;17:283.</w:t>
      </w:r>
    </w:p>
    <w:p w14:paraId="568E6FC3" w14:textId="77777777" w:rsidR="00A275AD" w:rsidRPr="0046322F" w:rsidRDefault="00A275AD" w:rsidP="004E57D3">
      <w:pPr>
        <w:pStyle w:val="Bibliografie"/>
        <w:spacing w:after="60"/>
        <w:rPr>
          <w:sz w:val="16"/>
          <w:szCs w:val="16"/>
          <w:lang w:val="en-GB"/>
        </w:rPr>
      </w:pPr>
      <w:r w:rsidRPr="0046322F">
        <w:rPr>
          <w:sz w:val="16"/>
          <w:szCs w:val="16"/>
          <w:lang w:val="en-GB"/>
        </w:rPr>
        <w:t>22.</w:t>
      </w:r>
      <w:r w:rsidRPr="0046322F">
        <w:rPr>
          <w:sz w:val="16"/>
          <w:szCs w:val="16"/>
          <w:lang w:val="en-GB"/>
        </w:rPr>
        <w:tab/>
        <w:t>Bellg AJ, Borrelli B, Resnick B, Hecht J, Minicucci DS, Ory M, e.a. Enhancing Treatment Fidelity in Health Behavior Change Studies: Best Practices and Recommendations From the NIH Behavior Change Consortium. Health Psychol. 2004;23:443-51.</w:t>
      </w:r>
    </w:p>
    <w:p w14:paraId="31625F9C" w14:textId="77777777" w:rsidR="00A275AD" w:rsidRPr="0046322F" w:rsidRDefault="00A275AD" w:rsidP="004E57D3">
      <w:pPr>
        <w:pStyle w:val="Bibliografie"/>
        <w:spacing w:after="60"/>
        <w:rPr>
          <w:sz w:val="16"/>
          <w:szCs w:val="16"/>
        </w:rPr>
      </w:pPr>
      <w:r w:rsidRPr="0046322F">
        <w:rPr>
          <w:sz w:val="16"/>
          <w:szCs w:val="16"/>
          <w:lang w:val="en-GB"/>
        </w:rPr>
        <w:t>23.</w:t>
      </w:r>
      <w:r w:rsidRPr="0046322F">
        <w:rPr>
          <w:sz w:val="16"/>
          <w:szCs w:val="16"/>
          <w:lang w:val="en-GB"/>
        </w:rPr>
        <w:tab/>
        <w:t xml:space="preserve">Hopewell S, Chan AW, Collins GS, Hróbjartsson A, Moher D, Schulz KF, e.a. CONSORT 2025 statement: updated guideline for reporting randomised trials. </w:t>
      </w:r>
      <w:r w:rsidRPr="0046322F">
        <w:rPr>
          <w:sz w:val="16"/>
          <w:szCs w:val="16"/>
        </w:rPr>
        <w:t>BMJ. 2025;389:e081123.</w:t>
      </w:r>
    </w:p>
    <w:p w14:paraId="00F95CD6" w14:textId="1FB25759" w:rsidR="007D5D60" w:rsidRPr="005F5A72" w:rsidRDefault="00614557" w:rsidP="004E57D3">
      <w:pPr>
        <w:spacing w:after="60"/>
        <w:rPr>
          <w:rFonts w:ascii="Garamond" w:hAnsi="Garamond"/>
          <w:lang w:val="en-US"/>
        </w:rPr>
      </w:pPr>
      <w:r w:rsidRPr="0046322F">
        <w:rPr>
          <w:rFonts w:ascii="Garamond" w:hAnsi="Garamond"/>
          <w:sz w:val="16"/>
          <w:szCs w:val="16"/>
          <w:lang w:val="en-US"/>
        </w:rPr>
        <w:fldChar w:fldCharType="end"/>
      </w:r>
    </w:p>
    <w:sectPr w:rsidR="007D5D60" w:rsidRPr="005F5A72" w:rsidSect="0046322F">
      <w:type w:val="continuous"/>
      <w:pgSz w:w="11906" w:h="16838"/>
      <w:pgMar w:top="964" w:right="1077" w:bottom="964" w:left="1077" w:header="708" w:footer="708" w:gutter="0"/>
      <w:cols w:num="2" w:space="397"/>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4F88A2" w14:textId="77777777" w:rsidR="00E565BF" w:rsidRDefault="00E565BF">
      <w:r>
        <w:separator/>
      </w:r>
    </w:p>
  </w:endnote>
  <w:endnote w:type="continuationSeparator" w:id="0">
    <w:p w14:paraId="27B9B16F" w14:textId="77777777" w:rsidR="00E565BF" w:rsidRDefault="00E565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95CDC" w14:textId="3F0E3AAA" w:rsidR="007D5D60" w:rsidRDefault="005309EE">
    <w:pPr>
      <w:jc w:val="center"/>
    </w:pPr>
    <w:r>
      <w:rPr>
        <w:color w:val="5A6B75"/>
        <w:sz w:val="16"/>
        <w:szCs w:val="16"/>
      </w:rPr>
      <w:t xml:space="preserve">Provisional Doctoral Plan — PARADISE trial   ·   Page </w:t>
    </w:r>
    <w:r>
      <w:rPr>
        <w:color w:val="5A6B75"/>
        <w:sz w:val="16"/>
        <w:szCs w:val="16"/>
      </w:rPr>
      <w:fldChar w:fldCharType="begin"/>
    </w:r>
    <w:r>
      <w:rPr>
        <w:color w:val="5A6B75"/>
        <w:sz w:val="16"/>
        <w:szCs w:val="16"/>
      </w:rPr>
      <w:instrText>PAGE</w:instrText>
    </w:r>
    <w:r>
      <w:rPr>
        <w:color w:val="5A6B75"/>
        <w:sz w:val="16"/>
        <w:szCs w:val="16"/>
      </w:rPr>
      <w:fldChar w:fldCharType="separate"/>
    </w:r>
    <w:r w:rsidR="003344D9">
      <w:rPr>
        <w:noProof/>
        <w:color w:val="5A6B75"/>
        <w:sz w:val="16"/>
        <w:szCs w:val="16"/>
      </w:rPr>
      <w:t>2</w:t>
    </w:r>
    <w:r>
      <w:rPr>
        <w:color w:val="5A6B75"/>
        <w:sz w:val="16"/>
        <w:szCs w:val="16"/>
      </w:rPr>
      <w:fldChar w:fldCharType="end"/>
    </w:r>
    <w:r>
      <w:rPr>
        <w:color w:val="5A6B75"/>
        <w:sz w:val="16"/>
        <w:szCs w:val="16"/>
      </w:rPr>
      <w:t xml:space="preserve"> of </w:t>
    </w:r>
    <w:r>
      <w:rPr>
        <w:color w:val="5A6B75"/>
        <w:sz w:val="16"/>
        <w:szCs w:val="16"/>
      </w:rPr>
      <w:fldChar w:fldCharType="begin"/>
    </w:r>
    <w:r>
      <w:rPr>
        <w:color w:val="5A6B75"/>
        <w:sz w:val="16"/>
        <w:szCs w:val="16"/>
      </w:rPr>
      <w:instrText>NUMPAGES</w:instrText>
    </w:r>
    <w:r>
      <w:rPr>
        <w:color w:val="5A6B75"/>
        <w:sz w:val="16"/>
        <w:szCs w:val="16"/>
      </w:rPr>
      <w:fldChar w:fldCharType="separate"/>
    </w:r>
    <w:r w:rsidR="003344D9">
      <w:rPr>
        <w:noProof/>
        <w:color w:val="5A6B75"/>
        <w:sz w:val="16"/>
        <w:szCs w:val="16"/>
      </w:rPr>
      <w:t>3</w:t>
    </w:r>
    <w:r>
      <w:rPr>
        <w:color w:val="5A6B75"/>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95CDE" w14:textId="7427E154" w:rsidR="007D5D60" w:rsidRDefault="005309EE">
    <w:pPr>
      <w:jc w:val="center"/>
    </w:pPr>
    <w:r>
      <w:rPr>
        <w:color w:val="5A6B75"/>
        <w:sz w:val="16"/>
        <w:szCs w:val="16"/>
      </w:rPr>
      <w:t xml:space="preserve">Provisional Doctoral Plan — PARADISE trial   ·   Page </w:t>
    </w:r>
    <w:r>
      <w:rPr>
        <w:color w:val="5A6B75"/>
        <w:sz w:val="16"/>
        <w:szCs w:val="16"/>
      </w:rPr>
      <w:fldChar w:fldCharType="begin"/>
    </w:r>
    <w:r>
      <w:rPr>
        <w:color w:val="5A6B75"/>
        <w:sz w:val="16"/>
        <w:szCs w:val="16"/>
      </w:rPr>
      <w:instrText>PAGE</w:instrText>
    </w:r>
    <w:r>
      <w:rPr>
        <w:color w:val="5A6B75"/>
        <w:sz w:val="16"/>
        <w:szCs w:val="16"/>
      </w:rPr>
      <w:fldChar w:fldCharType="separate"/>
    </w:r>
    <w:r w:rsidR="003344D9">
      <w:rPr>
        <w:noProof/>
        <w:color w:val="5A6B75"/>
        <w:sz w:val="16"/>
        <w:szCs w:val="16"/>
      </w:rPr>
      <w:t>1</w:t>
    </w:r>
    <w:r>
      <w:rPr>
        <w:color w:val="5A6B75"/>
        <w:sz w:val="16"/>
        <w:szCs w:val="16"/>
      </w:rPr>
      <w:fldChar w:fldCharType="end"/>
    </w:r>
    <w:r>
      <w:rPr>
        <w:color w:val="5A6B75"/>
        <w:sz w:val="16"/>
        <w:szCs w:val="16"/>
      </w:rPr>
      <w:t xml:space="preserve"> of </w:t>
    </w:r>
    <w:r>
      <w:rPr>
        <w:color w:val="5A6B75"/>
        <w:sz w:val="16"/>
        <w:szCs w:val="16"/>
      </w:rPr>
      <w:fldChar w:fldCharType="begin"/>
    </w:r>
    <w:r>
      <w:rPr>
        <w:color w:val="5A6B75"/>
        <w:sz w:val="16"/>
        <w:szCs w:val="16"/>
      </w:rPr>
      <w:instrText>NUMPAGES</w:instrText>
    </w:r>
    <w:r>
      <w:rPr>
        <w:color w:val="5A6B75"/>
        <w:sz w:val="16"/>
        <w:szCs w:val="16"/>
      </w:rPr>
      <w:fldChar w:fldCharType="separate"/>
    </w:r>
    <w:r w:rsidR="003344D9">
      <w:rPr>
        <w:noProof/>
        <w:color w:val="5A6B75"/>
        <w:sz w:val="16"/>
        <w:szCs w:val="16"/>
      </w:rPr>
      <w:t>2</w:t>
    </w:r>
    <w:r>
      <w:rPr>
        <w:color w:val="5A6B7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5108AD" w14:textId="77777777" w:rsidR="00E565BF" w:rsidRDefault="00E565BF">
      <w:r>
        <w:separator/>
      </w:r>
    </w:p>
  </w:footnote>
  <w:footnote w:type="continuationSeparator" w:id="0">
    <w:p w14:paraId="2CB2E3EF" w14:textId="77777777" w:rsidR="00E565BF" w:rsidRDefault="00E565B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95CDB" w14:textId="77777777" w:rsidR="007D5D60" w:rsidRPr="003344D9" w:rsidRDefault="005309EE">
    <w:pPr>
      <w:pBdr>
        <w:bottom w:val="single" w:sz="4" w:space="4" w:color="C8D2D8"/>
      </w:pBdr>
      <w:tabs>
        <w:tab w:val="right" w:pos="9266"/>
      </w:tabs>
      <w:rPr>
        <w:lang w:val="en-US"/>
      </w:rPr>
    </w:pPr>
    <w:r w:rsidRPr="003344D9">
      <w:rPr>
        <w:rFonts w:ascii="Calibri" w:eastAsia="Calibri" w:hAnsi="Calibri" w:cs="Calibri"/>
        <w:b/>
        <w:bCs/>
        <w:color w:val="20415A"/>
        <w:sz w:val="16"/>
        <w:szCs w:val="16"/>
        <w:lang w:val="en-US"/>
      </w:rPr>
      <w:t>PARADISE — Provisional Doctoral Plan</w:t>
    </w:r>
    <w:r w:rsidRPr="003344D9">
      <w:rPr>
        <w:rFonts w:ascii="Calibri" w:eastAsia="Calibri" w:hAnsi="Calibri" w:cs="Calibri"/>
        <w:color w:val="5A6B75"/>
        <w:sz w:val="16"/>
        <w:szCs w:val="16"/>
        <w:lang w:val="en-US"/>
      </w:rPr>
      <w:tab/>
      <w:t>Doctoral School of Biomedical Sciences, KU Leuven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C3DF33" w14:textId="7CB9E7B9" w:rsidR="006111D6" w:rsidRPr="00734D8C" w:rsidRDefault="00B00C22" w:rsidP="00B00C22">
    <w:pPr>
      <w:tabs>
        <w:tab w:val="right" w:pos="9266"/>
      </w:tabs>
      <w:spacing w:after="60"/>
      <w:rPr>
        <w:rFonts w:eastAsia="Calibri"/>
        <w:b/>
        <w:bCs/>
        <w:caps/>
        <w:color w:val="2A7F8E"/>
        <w:sz w:val="22"/>
        <w:szCs w:val="22"/>
        <w:lang w:val="en-US"/>
      </w:rPr>
    </w:pPr>
    <w:r w:rsidRPr="00B00C22">
      <w:rPr>
        <w:rFonts w:eastAsia="Calibri"/>
        <w:b/>
        <w:bCs/>
        <w:caps/>
        <w:noProof/>
        <w:color w:val="2A7F8E"/>
        <w:sz w:val="22"/>
        <w:szCs w:val="22"/>
      </w:rPr>
      <w:drawing>
        <wp:anchor distT="0" distB="0" distL="114300" distR="114300" simplePos="0" relativeHeight="251658240" behindDoc="0" locked="0" layoutInCell="1" allowOverlap="1" wp14:anchorId="016CACC0" wp14:editId="2791318C">
          <wp:simplePos x="0" y="0"/>
          <wp:positionH relativeFrom="column">
            <wp:posOffset>3800671</wp:posOffset>
          </wp:positionH>
          <wp:positionV relativeFrom="paragraph">
            <wp:posOffset>-379535</wp:posOffset>
          </wp:positionV>
          <wp:extent cx="2843530" cy="808990"/>
          <wp:effectExtent l="0" t="0" r="0" b="0"/>
          <wp:wrapThrough wrapText="bothSides">
            <wp:wrapPolygon edited="0">
              <wp:start x="0" y="0"/>
              <wp:lineTo x="0" y="16785"/>
              <wp:lineTo x="11866" y="20854"/>
              <wp:lineTo x="20693" y="20854"/>
              <wp:lineTo x="21417" y="19837"/>
              <wp:lineTo x="21417" y="5595"/>
              <wp:lineTo x="13458" y="0"/>
              <wp:lineTo x="0" y="0"/>
            </wp:wrapPolygon>
          </wp:wrapThrough>
          <wp:docPr id="44647372" name="Afbeelding 15" descr="Afbeelding met tekst, schermopname, Lettertype, Graphics&#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412454" name="Afbeelding 15" descr="Afbeelding met tekst, schermopname, Lettertype, Graphics&#10;&#10;Door AI gegenereerde inhoud is mogelijk onjuis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843530" cy="808990"/>
                  </a:xfrm>
                  <a:prstGeom prst="rect">
                    <a:avLst/>
                  </a:prstGeom>
                  <a:noFill/>
                  <a:ln>
                    <a:noFill/>
                  </a:ln>
                </pic:spPr>
              </pic:pic>
            </a:graphicData>
          </a:graphic>
          <wp14:sizeRelH relativeFrom="page">
            <wp14:pctWidth>0</wp14:pctWidth>
          </wp14:sizeRelH>
          <wp14:sizeRelV relativeFrom="page">
            <wp14:pctHeight>0</wp14:pctHeight>
          </wp14:sizeRelV>
        </wp:anchor>
      </w:drawing>
    </w:r>
    <w:r w:rsidR="006111D6">
      <w:rPr>
        <w:rFonts w:eastAsia="Calibri"/>
        <w:b/>
        <w:bCs/>
        <w:caps/>
        <w:color w:val="2A7F8E"/>
        <w:sz w:val="22"/>
        <w:szCs w:val="22"/>
        <w:lang w:val="en-US"/>
      </w:rPr>
      <w:t>Provisional Doctoral Plan</w:t>
    </w:r>
    <w:r w:rsidR="003E7C28">
      <w:rPr>
        <w:rFonts w:eastAsia="Calibri"/>
        <w:b/>
        <w:bCs/>
        <w:caps/>
        <w:color w:val="2A7F8E"/>
        <w:sz w:val="22"/>
        <w:szCs w:val="22"/>
        <w:lang w:val="en-US"/>
      </w:rPr>
      <w:br/>
    </w:r>
    <w:r w:rsidR="003E7C28" w:rsidRPr="003E7C28">
      <w:rPr>
        <w:rFonts w:eastAsia="Calibri"/>
        <w:b/>
        <w:bCs/>
        <w:caps/>
        <w:color w:val="0F2E33"/>
        <w:sz w:val="22"/>
        <w:szCs w:val="22"/>
        <w:lang w:val="en-US"/>
      </w:rPr>
      <w:t>JAnou de buyser</w:t>
    </w:r>
    <w:r>
      <w:rPr>
        <w:rFonts w:eastAsia="Calibri"/>
        <w:b/>
        <w:bCs/>
        <w:caps/>
        <w:color w:val="2A7F8E"/>
        <w:sz w:val="22"/>
        <w:szCs w:val="22"/>
        <w:lang w:val="en-US"/>
      </w:rPr>
      <w:tab/>
    </w:r>
  </w:p>
  <w:p w14:paraId="7F4922AA" w14:textId="3B3A60FD" w:rsidR="006111D6" w:rsidRPr="006111D6" w:rsidRDefault="006111D6" w:rsidP="006111D6">
    <w:pPr>
      <w:spacing w:after="240"/>
      <w:rPr>
        <w:lang w:val="en-US"/>
      </w:rPr>
    </w:pPr>
    <w:r>
      <w:rPr>
        <w:color w:val="5A6B75"/>
        <w:sz w:val="20"/>
        <w:szCs w:val="20"/>
        <w:lang w:val="en-US"/>
      </w:rPr>
      <w:t>Doctoral School of Biomedical Sciences — KU Leuven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11578"/>
    <w:multiLevelType w:val="multilevel"/>
    <w:tmpl w:val="A7063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A70AB"/>
    <w:multiLevelType w:val="multilevel"/>
    <w:tmpl w:val="5254C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A76439"/>
    <w:multiLevelType w:val="hybridMultilevel"/>
    <w:tmpl w:val="B8DA174E"/>
    <w:lvl w:ilvl="0" w:tplc="C478C16A">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 w15:restartNumberingAfterBreak="0">
    <w:nsid w:val="249E0A54"/>
    <w:multiLevelType w:val="hybridMultilevel"/>
    <w:tmpl w:val="367A3E6E"/>
    <w:lvl w:ilvl="0" w:tplc="31E6C662">
      <w:start w:val="1"/>
      <w:numFmt w:val="decimal"/>
      <w:lvlText w:val="(%1)"/>
      <w:lvlJc w:val="left"/>
      <w:pPr>
        <w:ind w:left="720" w:hanging="360"/>
      </w:pPr>
      <w:rPr>
        <w:rFonts w:hint="default"/>
        <w:b/>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4" w15:restartNumberingAfterBreak="0">
    <w:nsid w:val="3C1D60F6"/>
    <w:multiLevelType w:val="multilevel"/>
    <w:tmpl w:val="1DA48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E6C5202"/>
    <w:multiLevelType w:val="hybridMultilevel"/>
    <w:tmpl w:val="AC98DB28"/>
    <w:lvl w:ilvl="0" w:tplc="2036F886">
      <w:start w:val="1"/>
      <w:numFmt w:val="bullet"/>
      <w:lvlText w:val="•"/>
      <w:lvlJc w:val="left"/>
      <w:pPr>
        <w:ind w:left="504" w:hanging="288"/>
      </w:pPr>
    </w:lvl>
    <w:lvl w:ilvl="1" w:tplc="BEDA599C">
      <w:numFmt w:val="decimal"/>
      <w:lvlText w:val=""/>
      <w:lvlJc w:val="left"/>
    </w:lvl>
    <w:lvl w:ilvl="2" w:tplc="2A12735C">
      <w:numFmt w:val="decimal"/>
      <w:lvlText w:val=""/>
      <w:lvlJc w:val="left"/>
    </w:lvl>
    <w:lvl w:ilvl="3" w:tplc="146A8682">
      <w:numFmt w:val="decimal"/>
      <w:lvlText w:val=""/>
      <w:lvlJc w:val="left"/>
    </w:lvl>
    <w:lvl w:ilvl="4" w:tplc="C892440C">
      <w:numFmt w:val="decimal"/>
      <w:lvlText w:val=""/>
      <w:lvlJc w:val="left"/>
    </w:lvl>
    <w:lvl w:ilvl="5" w:tplc="D278D01C">
      <w:numFmt w:val="decimal"/>
      <w:lvlText w:val=""/>
      <w:lvlJc w:val="left"/>
    </w:lvl>
    <w:lvl w:ilvl="6" w:tplc="635675FC">
      <w:numFmt w:val="decimal"/>
      <w:lvlText w:val=""/>
      <w:lvlJc w:val="left"/>
    </w:lvl>
    <w:lvl w:ilvl="7" w:tplc="E6EECCC2">
      <w:numFmt w:val="decimal"/>
      <w:lvlText w:val=""/>
      <w:lvlJc w:val="left"/>
    </w:lvl>
    <w:lvl w:ilvl="8" w:tplc="B6F20614">
      <w:numFmt w:val="decimal"/>
      <w:lvlText w:val=""/>
      <w:lvlJc w:val="left"/>
    </w:lvl>
  </w:abstractNum>
  <w:abstractNum w:abstractNumId="6" w15:restartNumberingAfterBreak="0">
    <w:nsid w:val="4F6F130C"/>
    <w:multiLevelType w:val="multilevel"/>
    <w:tmpl w:val="EC426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AD82D90"/>
    <w:multiLevelType w:val="multilevel"/>
    <w:tmpl w:val="31DC2C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CA37EDE"/>
    <w:multiLevelType w:val="multilevel"/>
    <w:tmpl w:val="C67CF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5662B2F"/>
    <w:multiLevelType w:val="hybridMultilevel"/>
    <w:tmpl w:val="138C2132"/>
    <w:lvl w:ilvl="0" w:tplc="08130001">
      <w:start w:val="3"/>
      <w:numFmt w:val="bullet"/>
      <w:lvlText w:val=""/>
      <w:lvlJc w:val="left"/>
      <w:pPr>
        <w:ind w:left="720" w:hanging="360"/>
      </w:pPr>
      <w:rPr>
        <w:rFonts w:ascii="Symbol" w:eastAsia="Times New Roman" w:hAnsi="Symbol" w:cs="Times New Roman"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0" w15:restartNumberingAfterBreak="0">
    <w:nsid w:val="795C21FB"/>
    <w:multiLevelType w:val="hybridMultilevel"/>
    <w:tmpl w:val="014AF63C"/>
    <w:lvl w:ilvl="0" w:tplc="24809D16">
      <w:start w:val="1"/>
      <w:numFmt w:val="bullet"/>
      <w:lvlText w:val="●"/>
      <w:lvlJc w:val="left"/>
      <w:pPr>
        <w:ind w:left="720" w:hanging="360"/>
      </w:pPr>
    </w:lvl>
    <w:lvl w:ilvl="1" w:tplc="00E00602">
      <w:start w:val="1"/>
      <w:numFmt w:val="bullet"/>
      <w:lvlText w:val="○"/>
      <w:lvlJc w:val="left"/>
      <w:pPr>
        <w:ind w:left="1440" w:hanging="360"/>
      </w:pPr>
    </w:lvl>
    <w:lvl w:ilvl="2" w:tplc="FBAEC9D0">
      <w:start w:val="1"/>
      <w:numFmt w:val="bullet"/>
      <w:lvlText w:val="■"/>
      <w:lvlJc w:val="left"/>
      <w:pPr>
        <w:ind w:left="2160" w:hanging="360"/>
      </w:pPr>
    </w:lvl>
    <w:lvl w:ilvl="3" w:tplc="E82C69A2">
      <w:start w:val="1"/>
      <w:numFmt w:val="bullet"/>
      <w:lvlText w:val="●"/>
      <w:lvlJc w:val="left"/>
      <w:pPr>
        <w:ind w:left="2880" w:hanging="360"/>
      </w:pPr>
    </w:lvl>
    <w:lvl w:ilvl="4" w:tplc="FADC81F8">
      <w:start w:val="1"/>
      <w:numFmt w:val="bullet"/>
      <w:lvlText w:val="○"/>
      <w:lvlJc w:val="left"/>
      <w:pPr>
        <w:ind w:left="3600" w:hanging="360"/>
      </w:pPr>
    </w:lvl>
    <w:lvl w:ilvl="5" w:tplc="7F64B6CA">
      <w:start w:val="1"/>
      <w:numFmt w:val="bullet"/>
      <w:lvlText w:val="■"/>
      <w:lvlJc w:val="left"/>
      <w:pPr>
        <w:ind w:left="4320" w:hanging="360"/>
      </w:pPr>
    </w:lvl>
    <w:lvl w:ilvl="6" w:tplc="117E7964">
      <w:start w:val="1"/>
      <w:numFmt w:val="bullet"/>
      <w:lvlText w:val="●"/>
      <w:lvlJc w:val="left"/>
      <w:pPr>
        <w:ind w:left="5040" w:hanging="360"/>
      </w:pPr>
    </w:lvl>
    <w:lvl w:ilvl="7" w:tplc="5AA03DF2">
      <w:start w:val="1"/>
      <w:numFmt w:val="bullet"/>
      <w:lvlText w:val="●"/>
      <w:lvlJc w:val="left"/>
      <w:pPr>
        <w:ind w:left="5760" w:hanging="360"/>
      </w:pPr>
    </w:lvl>
    <w:lvl w:ilvl="8" w:tplc="F7922A6A">
      <w:start w:val="1"/>
      <w:numFmt w:val="bullet"/>
      <w:lvlText w:val="●"/>
      <w:lvlJc w:val="left"/>
      <w:pPr>
        <w:ind w:left="6480" w:hanging="360"/>
      </w:pPr>
    </w:lvl>
  </w:abstractNum>
  <w:num w:numId="1" w16cid:durableId="393478881">
    <w:abstractNumId w:val="10"/>
    <w:lvlOverride w:ilvl="0">
      <w:startOverride w:val="1"/>
    </w:lvlOverride>
  </w:num>
  <w:num w:numId="2" w16cid:durableId="2010675918">
    <w:abstractNumId w:val="9"/>
  </w:num>
  <w:num w:numId="3" w16cid:durableId="545028195">
    <w:abstractNumId w:val="7"/>
  </w:num>
  <w:num w:numId="4" w16cid:durableId="1156803967">
    <w:abstractNumId w:val="6"/>
  </w:num>
  <w:num w:numId="5" w16cid:durableId="1211385713">
    <w:abstractNumId w:val="0"/>
  </w:num>
  <w:num w:numId="6" w16cid:durableId="511115868">
    <w:abstractNumId w:val="8"/>
  </w:num>
  <w:num w:numId="7" w16cid:durableId="1201166613">
    <w:abstractNumId w:val="1"/>
  </w:num>
  <w:num w:numId="8" w16cid:durableId="1239441335">
    <w:abstractNumId w:val="4"/>
  </w:num>
  <w:num w:numId="9" w16cid:durableId="1752198102">
    <w:abstractNumId w:val="5"/>
    <w:lvlOverride w:ilvl="0">
      <w:startOverride w:val="1"/>
    </w:lvlOverride>
  </w:num>
  <w:num w:numId="10" w16cid:durableId="751120425">
    <w:abstractNumId w:val="2"/>
  </w:num>
  <w:num w:numId="11" w16cid:durableId="40888551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5D60"/>
    <w:rsid w:val="000110AC"/>
    <w:rsid w:val="00032423"/>
    <w:rsid w:val="00041901"/>
    <w:rsid w:val="00045568"/>
    <w:rsid w:val="00050841"/>
    <w:rsid w:val="000511A2"/>
    <w:rsid w:val="0005227F"/>
    <w:rsid w:val="00056E75"/>
    <w:rsid w:val="00064406"/>
    <w:rsid w:val="00073C37"/>
    <w:rsid w:val="00080B9A"/>
    <w:rsid w:val="00084443"/>
    <w:rsid w:val="000856AE"/>
    <w:rsid w:val="000A1CE5"/>
    <w:rsid w:val="000A586A"/>
    <w:rsid w:val="000B4F0D"/>
    <w:rsid w:val="000C07B0"/>
    <w:rsid w:val="000C6E1C"/>
    <w:rsid w:val="000D3F8E"/>
    <w:rsid w:val="000D6074"/>
    <w:rsid w:val="000E486E"/>
    <w:rsid w:val="000F115F"/>
    <w:rsid w:val="000F260F"/>
    <w:rsid w:val="001004AC"/>
    <w:rsid w:val="001144B1"/>
    <w:rsid w:val="00115B8F"/>
    <w:rsid w:val="00121B58"/>
    <w:rsid w:val="001234F4"/>
    <w:rsid w:val="001239BB"/>
    <w:rsid w:val="00132872"/>
    <w:rsid w:val="001351B7"/>
    <w:rsid w:val="0013606D"/>
    <w:rsid w:val="00147928"/>
    <w:rsid w:val="00147C9E"/>
    <w:rsid w:val="0015357D"/>
    <w:rsid w:val="00154A69"/>
    <w:rsid w:val="00162295"/>
    <w:rsid w:val="001639B4"/>
    <w:rsid w:val="001675B0"/>
    <w:rsid w:val="001724A5"/>
    <w:rsid w:val="001820DD"/>
    <w:rsid w:val="00184532"/>
    <w:rsid w:val="00186997"/>
    <w:rsid w:val="00191111"/>
    <w:rsid w:val="00191C55"/>
    <w:rsid w:val="001A19D6"/>
    <w:rsid w:val="001A2427"/>
    <w:rsid w:val="001B4CCE"/>
    <w:rsid w:val="001B67D2"/>
    <w:rsid w:val="001C3AFD"/>
    <w:rsid w:val="001D390D"/>
    <w:rsid w:val="001D4F62"/>
    <w:rsid w:val="001D5147"/>
    <w:rsid w:val="001E5BF6"/>
    <w:rsid w:val="001F1839"/>
    <w:rsid w:val="001F30D9"/>
    <w:rsid w:val="001F5DB8"/>
    <w:rsid w:val="00210747"/>
    <w:rsid w:val="00211ABD"/>
    <w:rsid w:val="0022270C"/>
    <w:rsid w:val="00234F97"/>
    <w:rsid w:val="00244C5C"/>
    <w:rsid w:val="0024684E"/>
    <w:rsid w:val="00247CF0"/>
    <w:rsid w:val="0026326C"/>
    <w:rsid w:val="00271357"/>
    <w:rsid w:val="00274383"/>
    <w:rsid w:val="00277001"/>
    <w:rsid w:val="002774F4"/>
    <w:rsid w:val="002812C6"/>
    <w:rsid w:val="00282630"/>
    <w:rsid w:val="002829D2"/>
    <w:rsid w:val="00283364"/>
    <w:rsid w:val="0029137C"/>
    <w:rsid w:val="002917CF"/>
    <w:rsid w:val="00292EA5"/>
    <w:rsid w:val="002946FB"/>
    <w:rsid w:val="00296877"/>
    <w:rsid w:val="002B0107"/>
    <w:rsid w:val="002B2BF5"/>
    <w:rsid w:val="002B5BCE"/>
    <w:rsid w:val="002E5812"/>
    <w:rsid w:val="002E67F5"/>
    <w:rsid w:val="002F56D7"/>
    <w:rsid w:val="002F57D3"/>
    <w:rsid w:val="002F6DDF"/>
    <w:rsid w:val="00303C57"/>
    <w:rsid w:val="0031099C"/>
    <w:rsid w:val="00316286"/>
    <w:rsid w:val="003242E0"/>
    <w:rsid w:val="003316A9"/>
    <w:rsid w:val="003344D9"/>
    <w:rsid w:val="00335DA6"/>
    <w:rsid w:val="0034537E"/>
    <w:rsid w:val="003458B4"/>
    <w:rsid w:val="0035003B"/>
    <w:rsid w:val="00350471"/>
    <w:rsid w:val="0036557A"/>
    <w:rsid w:val="00366F37"/>
    <w:rsid w:val="0037128A"/>
    <w:rsid w:val="00392468"/>
    <w:rsid w:val="0039441C"/>
    <w:rsid w:val="003A36B5"/>
    <w:rsid w:val="003B3B8B"/>
    <w:rsid w:val="003C262C"/>
    <w:rsid w:val="003C7421"/>
    <w:rsid w:val="003D4BC0"/>
    <w:rsid w:val="003E36C5"/>
    <w:rsid w:val="003E3DAC"/>
    <w:rsid w:val="003E7C28"/>
    <w:rsid w:val="003F3E6D"/>
    <w:rsid w:val="00415751"/>
    <w:rsid w:val="0042311E"/>
    <w:rsid w:val="0042421C"/>
    <w:rsid w:val="0042532F"/>
    <w:rsid w:val="00425877"/>
    <w:rsid w:val="00433982"/>
    <w:rsid w:val="00435584"/>
    <w:rsid w:val="00440964"/>
    <w:rsid w:val="004507B7"/>
    <w:rsid w:val="00451C37"/>
    <w:rsid w:val="00453A31"/>
    <w:rsid w:val="00457B64"/>
    <w:rsid w:val="00462EA7"/>
    <w:rsid w:val="0046322F"/>
    <w:rsid w:val="00467853"/>
    <w:rsid w:val="004712C7"/>
    <w:rsid w:val="00474470"/>
    <w:rsid w:val="00484C0B"/>
    <w:rsid w:val="004A0054"/>
    <w:rsid w:val="004A17D7"/>
    <w:rsid w:val="004C093B"/>
    <w:rsid w:val="004C155F"/>
    <w:rsid w:val="004C30F6"/>
    <w:rsid w:val="004C6133"/>
    <w:rsid w:val="004D5861"/>
    <w:rsid w:val="004E43BB"/>
    <w:rsid w:val="004E57D3"/>
    <w:rsid w:val="004E606A"/>
    <w:rsid w:val="004E6F43"/>
    <w:rsid w:val="004F2A9B"/>
    <w:rsid w:val="00500763"/>
    <w:rsid w:val="00510604"/>
    <w:rsid w:val="00530930"/>
    <w:rsid w:val="005309EE"/>
    <w:rsid w:val="005314FF"/>
    <w:rsid w:val="005319F1"/>
    <w:rsid w:val="00536E1D"/>
    <w:rsid w:val="00544C2D"/>
    <w:rsid w:val="00550D8D"/>
    <w:rsid w:val="00552BA4"/>
    <w:rsid w:val="00554604"/>
    <w:rsid w:val="0056207F"/>
    <w:rsid w:val="00584CBF"/>
    <w:rsid w:val="0059462D"/>
    <w:rsid w:val="005A3A29"/>
    <w:rsid w:val="005B2014"/>
    <w:rsid w:val="005C5C17"/>
    <w:rsid w:val="005D6F5C"/>
    <w:rsid w:val="005E4930"/>
    <w:rsid w:val="005E6B91"/>
    <w:rsid w:val="005F5A72"/>
    <w:rsid w:val="0060331E"/>
    <w:rsid w:val="006043F1"/>
    <w:rsid w:val="00606F26"/>
    <w:rsid w:val="006111D6"/>
    <w:rsid w:val="00614557"/>
    <w:rsid w:val="00615E12"/>
    <w:rsid w:val="00615F1C"/>
    <w:rsid w:val="00621B10"/>
    <w:rsid w:val="00622176"/>
    <w:rsid w:val="00623A1F"/>
    <w:rsid w:val="00627824"/>
    <w:rsid w:val="00637B7A"/>
    <w:rsid w:val="006431C1"/>
    <w:rsid w:val="00643ABE"/>
    <w:rsid w:val="00643AC6"/>
    <w:rsid w:val="00657CEC"/>
    <w:rsid w:val="00664FF6"/>
    <w:rsid w:val="00667F35"/>
    <w:rsid w:val="0067052F"/>
    <w:rsid w:val="0067304E"/>
    <w:rsid w:val="00674EEA"/>
    <w:rsid w:val="0068197E"/>
    <w:rsid w:val="0068750C"/>
    <w:rsid w:val="006913A7"/>
    <w:rsid w:val="006A61A2"/>
    <w:rsid w:val="006B1BE6"/>
    <w:rsid w:val="006B28B2"/>
    <w:rsid w:val="006B52AA"/>
    <w:rsid w:val="006C1A1E"/>
    <w:rsid w:val="006C2B33"/>
    <w:rsid w:val="006E5CEF"/>
    <w:rsid w:val="006F48E3"/>
    <w:rsid w:val="00704BBD"/>
    <w:rsid w:val="0071149F"/>
    <w:rsid w:val="00711F10"/>
    <w:rsid w:val="00713165"/>
    <w:rsid w:val="007258BE"/>
    <w:rsid w:val="00734D8C"/>
    <w:rsid w:val="0073676E"/>
    <w:rsid w:val="00743956"/>
    <w:rsid w:val="00746B1D"/>
    <w:rsid w:val="00754794"/>
    <w:rsid w:val="007760C2"/>
    <w:rsid w:val="00777A81"/>
    <w:rsid w:val="0079192F"/>
    <w:rsid w:val="007A183F"/>
    <w:rsid w:val="007A37E0"/>
    <w:rsid w:val="007C1F45"/>
    <w:rsid w:val="007C396D"/>
    <w:rsid w:val="007C5B77"/>
    <w:rsid w:val="007C60C8"/>
    <w:rsid w:val="007C746F"/>
    <w:rsid w:val="007D3571"/>
    <w:rsid w:val="007D393D"/>
    <w:rsid w:val="007D5D60"/>
    <w:rsid w:val="007E20BE"/>
    <w:rsid w:val="007E59A9"/>
    <w:rsid w:val="007E5F71"/>
    <w:rsid w:val="007E779C"/>
    <w:rsid w:val="007F31E3"/>
    <w:rsid w:val="008013EF"/>
    <w:rsid w:val="00804C4A"/>
    <w:rsid w:val="00815A84"/>
    <w:rsid w:val="00817C32"/>
    <w:rsid w:val="00820787"/>
    <w:rsid w:val="008334F2"/>
    <w:rsid w:val="00841CFC"/>
    <w:rsid w:val="00842FC2"/>
    <w:rsid w:val="008547A7"/>
    <w:rsid w:val="0085599B"/>
    <w:rsid w:val="00866286"/>
    <w:rsid w:val="008712DA"/>
    <w:rsid w:val="00882E24"/>
    <w:rsid w:val="008836CA"/>
    <w:rsid w:val="00884A84"/>
    <w:rsid w:val="008907AF"/>
    <w:rsid w:val="008908E3"/>
    <w:rsid w:val="008922D5"/>
    <w:rsid w:val="008961B6"/>
    <w:rsid w:val="00897EFD"/>
    <w:rsid w:val="008A7FA4"/>
    <w:rsid w:val="008B13B4"/>
    <w:rsid w:val="008B340F"/>
    <w:rsid w:val="008C2CB7"/>
    <w:rsid w:val="008D0289"/>
    <w:rsid w:val="008D2DBA"/>
    <w:rsid w:val="008D5F36"/>
    <w:rsid w:val="008E142D"/>
    <w:rsid w:val="008E150F"/>
    <w:rsid w:val="008E16B3"/>
    <w:rsid w:val="008E7820"/>
    <w:rsid w:val="008F67E3"/>
    <w:rsid w:val="00904718"/>
    <w:rsid w:val="009048E5"/>
    <w:rsid w:val="009262B0"/>
    <w:rsid w:val="009320D2"/>
    <w:rsid w:val="00935014"/>
    <w:rsid w:val="009453BA"/>
    <w:rsid w:val="00951F63"/>
    <w:rsid w:val="00971E54"/>
    <w:rsid w:val="00990238"/>
    <w:rsid w:val="0099474D"/>
    <w:rsid w:val="009B02D9"/>
    <w:rsid w:val="009C54EB"/>
    <w:rsid w:val="009D5AF6"/>
    <w:rsid w:val="009D64AC"/>
    <w:rsid w:val="009D6D30"/>
    <w:rsid w:val="009D72A8"/>
    <w:rsid w:val="009F059E"/>
    <w:rsid w:val="009F279C"/>
    <w:rsid w:val="009F5D14"/>
    <w:rsid w:val="00A01073"/>
    <w:rsid w:val="00A02295"/>
    <w:rsid w:val="00A06D38"/>
    <w:rsid w:val="00A110A3"/>
    <w:rsid w:val="00A125CA"/>
    <w:rsid w:val="00A1345A"/>
    <w:rsid w:val="00A15E2D"/>
    <w:rsid w:val="00A2143A"/>
    <w:rsid w:val="00A25970"/>
    <w:rsid w:val="00A275AD"/>
    <w:rsid w:val="00A27AD5"/>
    <w:rsid w:val="00A31AE7"/>
    <w:rsid w:val="00A37728"/>
    <w:rsid w:val="00A37F1B"/>
    <w:rsid w:val="00A416A4"/>
    <w:rsid w:val="00A5242A"/>
    <w:rsid w:val="00A54936"/>
    <w:rsid w:val="00A61455"/>
    <w:rsid w:val="00A629D4"/>
    <w:rsid w:val="00A80140"/>
    <w:rsid w:val="00A85562"/>
    <w:rsid w:val="00A90C38"/>
    <w:rsid w:val="00A9620E"/>
    <w:rsid w:val="00AA1C2B"/>
    <w:rsid w:val="00AB331B"/>
    <w:rsid w:val="00AC16D5"/>
    <w:rsid w:val="00AC2906"/>
    <w:rsid w:val="00AD7C9F"/>
    <w:rsid w:val="00AE25DE"/>
    <w:rsid w:val="00AE3143"/>
    <w:rsid w:val="00AF1FC4"/>
    <w:rsid w:val="00AF7B24"/>
    <w:rsid w:val="00B00C22"/>
    <w:rsid w:val="00B17EAA"/>
    <w:rsid w:val="00B36FF9"/>
    <w:rsid w:val="00B377A1"/>
    <w:rsid w:val="00B45FE1"/>
    <w:rsid w:val="00B4740A"/>
    <w:rsid w:val="00B51CFC"/>
    <w:rsid w:val="00B546D0"/>
    <w:rsid w:val="00B91E0C"/>
    <w:rsid w:val="00B93FD8"/>
    <w:rsid w:val="00BA1BB3"/>
    <w:rsid w:val="00BA5611"/>
    <w:rsid w:val="00BA7F21"/>
    <w:rsid w:val="00BB5C12"/>
    <w:rsid w:val="00BB7647"/>
    <w:rsid w:val="00BC49CB"/>
    <w:rsid w:val="00BC530B"/>
    <w:rsid w:val="00BC567F"/>
    <w:rsid w:val="00BD1466"/>
    <w:rsid w:val="00BD3FE7"/>
    <w:rsid w:val="00BD6D67"/>
    <w:rsid w:val="00BE278D"/>
    <w:rsid w:val="00BE578B"/>
    <w:rsid w:val="00BE606D"/>
    <w:rsid w:val="00BF346F"/>
    <w:rsid w:val="00C00B6A"/>
    <w:rsid w:val="00C02AE5"/>
    <w:rsid w:val="00C109E9"/>
    <w:rsid w:val="00C22DC1"/>
    <w:rsid w:val="00C24965"/>
    <w:rsid w:val="00C32BE9"/>
    <w:rsid w:val="00C4370F"/>
    <w:rsid w:val="00C565A7"/>
    <w:rsid w:val="00C617C8"/>
    <w:rsid w:val="00C61CE3"/>
    <w:rsid w:val="00C63BA4"/>
    <w:rsid w:val="00C65B2F"/>
    <w:rsid w:val="00C71105"/>
    <w:rsid w:val="00C75FA6"/>
    <w:rsid w:val="00C8246B"/>
    <w:rsid w:val="00C87E71"/>
    <w:rsid w:val="00C91589"/>
    <w:rsid w:val="00CB4947"/>
    <w:rsid w:val="00CB6773"/>
    <w:rsid w:val="00CC0EE4"/>
    <w:rsid w:val="00CC30D2"/>
    <w:rsid w:val="00CC7B2E"/>
    <w:rsid w:val="00CD216F"/>
    <w:rsid w:val="00CD6133"/>
    <w:rsid w:val="00CE1A7F"/>
    <w:rsid w:val="00CE1C93"/>
    <w:rsid w:val="00CE36FE"/>
    <w:rsid w:val="00CE4D5F"/>
    <w:rsid w:val="00CE5F5B"/>
    <w:rsid w:val="00CE75DF"/>
    <w:rsid w:val="00CF3245"/>
    <w:rsid w:val="00CF6AFB"/>
    <w:rsid w:val="00D001DA"/>
    <w:rsid w:val="00D04DE7"/>
    <w:rsid w:val="00D22EB2"/>
    <w:rsid w:val="00D25481"/>
    <w:rsid w:val="00D27DC8"/>
    <w:rsid w:val="00D305E5"/>
    <w:rsid w:val="00D43BA4"/>
    <w:rsid w:val="00D43FC7"/>
    <w:rsid w:val="00D57A9E"/>
    <w:rsid w:val="00D60099"/>
    <w:rsid w:val="00D615D6"/>
    <w:rsid w:val="00D67E59"/>
    <w:rsid w:val="00D73087"/>
    <w:rsid w:val="00D75C6C"/>
    <w:rsid w:val="00D86181"/>
    <w:rsid w:val="00D93EBD"/>
    <w:rsid w:val="00D9631F"/>
    <w:rsid w:val="00DA22D1"/>
    <w:rsid w:val="00DA6600"/>
    <w:rsid w:val="00DB4523"/>
    <w:rsid w:val="00DC22BC"/>
    <w:rsid w:val="00DC3FCC"/>
    <w:rsid w:val="00DC75A2"/>
    <w:rsid w:val="00DD242C"/>
    <w:rsid w:val="00DE0CDD"/>
    <w:rsid w:val="00DE2817"/>
    <w:rsid w:val="00DE65E1"/>
    <w:rsid w:val="00E06934"/>
    <w:rsid w:val="00E13BFC"/>
    <w:rsid w:val="00E17969"/>
    <w:rsid w:val="00E27D79"/>
    <w:rsid w:val="00E31400"/>
    <w:rsid w:val="00E4342F"/>
    <w:rsid w:val="00E565BF"/>
    <w:rsid w:val="00E67550"/>
    <w:rsid w:val="00E67762"/>
    <w:rsid w:val="00E77A70"/>
    <w:rsid w:val="00E92DE3"/>
    <w:rsid w:val="00E93FB6"/>
    <w:rsid w:val="00E973C5"/>
    <w:rsid w:val="00E97507"/>
    <w:rsid w:val="00EA2F33"/>
    <w:rsid w:val="00EA78E1"/>
    <w:rsid w:val="00EB0CA7"/>
    <w:rsid w:val="00EB51B7"/>
    <w:rsid w:val="00EC146B"/>
    <w:rsid w:val="00EC7622"/>
    <w:rsid w:val="00ED306B"/>
    <w:rsid w:val="00EF4CBC"/>
    <w:rsid w:val="00F00191"/>
    <w:rsid w:val="00F0277A"/>
    <w:rsid w:val="00F0585B"/>
    <w:rsid w:val="00F066A2"/>
    <w:rsid w:val="00F068BC"/>
    <w:rsid w:val="00F213CE"/>
    <w:rsid w:val="00F2303F"/>
    <w:rsid w:val="00F273F2"/>
    <w:rsid w:val="00F40D82"/>
    <w:rsid w:val="00F42DAD"/>
    <w:rsid w:val="00F4691D"/>
    <w:rsid w:val="00F54192"/>
    <w:rsid w:val="00F57B5F"/>
    <w:rsid w:val="00F63923"/>
    <w:rsid w:val="00F664E2"/>
    <w:rsid w:val="00F812D1"/>
    <w:rsid w:val="00F82FCD"/>
    <w:rsid w:val="00F9680D"/>
    <w:rsid w:val="00FA03DF"/>
    <w:rsid w:val="00FA6003"/>
    <w:rsid w:val="00FA67A0"/>
    <w:rsid w:val="00FB2DB5"/>
    <w:rsid w:val="00FB59C9"/>
    <w:rsid w:val="00FC380C"/>
    <w:rsid w:val="00FC6738"/>
    <w:rsid w:val="00FD6157"/>
    <w:rsid w:val="00FE2FED"/>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F95C7D"/>
  <w15:docId w15:val="{20A2DB22-58DF-4DA2-ABB5-1A3806524B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outlineLvl w:val="0"/>
    </w:pPr>
    <w:rPr>
      <w:color w:val="2E74B5"/>
      <w:sz w:val="32"/>
      <w:szCs w:val="32"/>
    </w:rPr>
  </w:style>
  <w:style w:type="paragraph" w:styleId="Kop2">
    <w:name w:val="heading 2"/>
    <w:uiPriority w:val="9"/>
    <w:semiHidden/>
    <w:unhideWhenUsed/>
    <w:qFormat/>
    <w:pPr>
      <w:outlineLvl w:val="1"/>
    </w:pPr>
    <w:rPr>
      <w:color w:val="2E74B5"/>
      <w:sz w:val="26"/>
      <w:szCs w:val="26"/>
    </w:rPr>
  </w:style>
  <w:style w:type="paragraph" w:styleId="Kop3">
    <w:name w:val="heading 3"/>
    <w:uiPriority w:val="9"/>
    <w:semiHidden/>
    <w:unhideWhenUsed/>
    <w:qFormat/>
    <w:pPr>
      <w:outlineLvl w:val="2"/>
    </w:pPr>
    <w:rPr>
      <w:color w:val="1F4D78"/>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character" w:styleId="Onopgelostemelding">
    <w:name w:val="Unresolved Mention"/>
    <w:basedOn w:val="Standaardalinea-lettertype"/>
    <w:uiPriority w:val="99"/>
    <w:semiHidden/>
    <w:unhideWhenUsed/>
    <w:rsid w:val="0024684E"/>
    <w:rPr>
      <w:color w:val="605E5C"/>
      <w:shd w:val="clear" w:color="auto" w:fill="E1DFDD"/>
    </w:rPr>
  </w:style>
  <w:style w:type="paragraph" w:customStyle="1" w:styleId="my-paragraph">
    <w:name w:val="my-paragraph"/>
    <w:basedOn w:val="Standaard"/>
    <w:rsid w:val="008A7FA4"/>
    <w:pPr>
      <w:spacing w:before="100" w:beforeAutospacing="1" w:after="100" w:afterAutospacing="1"/>
    </w:pPr>
  </w:style>
  <w:style w:type="character" w:styleId="Zwaar">
    <w:name w:val="Strong"/>
    <w:basedOn w:val="Standaardalinea-lettertype"/>
    <w:uiPriority w:val="22"/>
    <w:qFormat/>
    <w:rsid w:val="008A7FA4"/>
    <w:rPr>
      <w:b/>
      <w:bCs/>
    </w:rPr>
  </w:style>
  <w:style w:type="character" w:customStyle="1" w:styleId="citation">
    <w:name w:val="citation"/>
    <w:basedOn w:val="Standaardalinea-lettertype"/>
    <w:rsid w:val="008A7FA4"/>
  </w:style>
  <w:style w:type="character" w:styleId="Nadruk">
    <w:name w:val="Emphasis"/>
    <w:basedOn w:val="Standaardalinea-lettertype"/>
    <w:uiPriority w:val="20"/>
    <w:qFormat/>
    <w:rsid w:val="009F059E"/>
    <w:rPr>
      <w:i/>
      <w:iCs/>
    </w:rPr>
  </w:style>
  <w:style w:type="character" w:styleId="Tekstvantijdelijkeaanduiding">
    <w:name w:val="Placeholder Text"/>
    <w:basedOn w:val="Standaardalinea-lettertype"/>
    <w:uiPriority w:val="99"/>
    <w:semiHidden/>
    <w:rsid w:val="004C6133"/>
    <w:rPr>
      <w:color w:val="666666"/>
    </w:rPr>
  </w:style>
  <w:style w:type="paragraph" w:styleId="Bibliografie">
    <w:name w:val="Bibliography"/>
    <w:basedOn w:val="Standaard"/>
    <w:next w:val="Standaard"/>
    <w:uiPriority w:val="37"/>
    <w:unhideWhenUsed/>
    <w:rsid w:val="008D0289"/>
    <w:pPr>
      <w:tabs>
        <w:tab w:val="left" w:pos="384"/>
      </w:tabs>
      <w:spacing w:after="240"/>
      <w:ind w:left="384" w:hanging="384"/>
    </w:pPr>
  </w:style>
  <w:style w:type="paragraph" w:styleId="Tekstopmerking">
    <w:name w:val="annotation text"/>
    <w:basedOn w:val="Standaard"/>
    <w:link w:val="TekstopmerkingChar"/>
    <w:uiPriority w:val="99"/>
    <w:semiHidden/>
    <w:unhideWhenUsed/>
    <w:rPr>
      <w:sz w:val="20"/>
      <w:szCs w:val="20"/>
    </w:rPr>
  </w:style>
  <w:style w:type="character" w:customStyle="1" w:styleId="TekstopmerkingChar">
    <w:name w:val="Tekst opmerking Char"/>
    <w:basedOn w:val="Standaardalinea-lettertype"/>
    <w:link w:val="Tekstopmerking"/>
    <w:uiPriority w:val="99"/>
    <w:semiHidden/>
    <w:rPr>
      <w:sz w:val="20"/>
      <w:szCs w:val="20"/>
    </w:rPr>
  </w:style>
  <w:style w:type="character" w:styleId="Verwijzingopmerking">
    <w:name w:val="annotation reference"/>
    <w:basedOn w:val="Standaardalinea-lettertype"/>
    <w:uiPriority w:val="99"/>
    <w:semiHidden/>
    <w:unhideWhenUsed/>
    <w:rPr>
      <w:sz w:val="16"/>
      <w:szCs w:val="16"/>
    </w:rPr>
  </w:style>
  <w:style w:type="paragraph" w:styleId="Koptekst">
    <w:name w:val="header"/>
    <w:basedOn w:val="Standaard"/>
    <w:link w:val="KoptekstChar"/>
    <w:uiPriority w:val="99"/>
    <w:unhideWhenUsed/>
    <w:rsid w:val="00746B1D"/>
    <w:pPr>
      <w:tabs>
        <w:tab w:val="center" w:pos="4536"/>
        <w:tab w:val="right" w:pos="9072"/>
      </w:tabs>
    </w:pPr>
  </w:style>
  <w:style w:type="character" w:customStyle="1" w:styleId="KoptekstChar">
    <w:name w:val="Koptekst Char"/>
    <w:basedOn w:val="Standaardalinea-lettertype"/>
    <w:link w:val="Koptekst"/>
    <w:uiPriority w:val="99"/>
    <w:rsid w:val="00746B1D"/>
  </w:style>
  <w:style w:type="paragraph" w:styleId="Voettekst">
    <w:name w:val="footer"/>
    <w:basedOn w:val="Standaard"/>
    <w:link w:val="VoettekstChar"/>
    <w:uiPriority w:val="99"/>
    <w:unhideWhenUsed/>
    <w:rsid w:val="00746B1D"/>
    <w:pPr>
      <w:tabs>
        <w:tab w:val="center" w:pos="4536"/>
        <w:tab w:val="right" w:pos="9072"/>
      </w:tabs>
    </w:pPr>
  </w:style>
  <w:style w:type="character" w:customStyle="1" w:styleId="VoettekstChar">
    <w:name w:val="Voettekst Char"/>
    <w:basedOn w:val="Standaardalinea-lettertype"/>
    <w:link w:val="Voettekst"/>
    <w:uiPriority w:val="99"/>
    <w:rsid w:val="00746B1D"/>
  </w:style>
  <w:style w:type="paragraph" w:styleId="Normaalweb">
    <w:name w:val="Normal (Web)"/>
    <w:basedOn w:val="Standaard"/>
    <w:uiPriority w:val="99"/>
    <w:semiHidden/>
    <w:unhideWhenUsed/>
    <w:rsid w:val="00B00C2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evin.deschamps@kuleuven.be" TargetMode="External"/><Relationship Id="rId13" Type="http://schemas.microsoft.com/office/2007/relationships/hdphoto" Target="media/hdphoto1.wdp"/><Relationship Id="rId1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mailto:janou.debuyser@kuleuven.be" TargetMode="External"/><Relationship Id="rId12" Type="http://schemas.openxmlformats.org/officeDocument/2006/relationships/image" Target="media/image1.png"/><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koen.putman@vub.be" TargetMode="External"/><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hyperlink" Target="mailto:Maaike.Fobelets@vub.be"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mailto:fabienne.dobbels@kuleuven.be" TargetMode="External"/><Relationship Id="rId14" Type="http://schemas.openxmlformats.org/officeDocument/2006/relationships/image" Target="media/image2.emf"/></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821"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7515FC3-8413-4149-ADF2-08DA2F2A6566}">
  <we:reference id="WA200001361" version="2.129.3.0" store="Omex" storeType="OMEX"/>
  <we:alternateReferences>
    <we:reference id="WA200001361" version="2.129.3.0" store="WA200001361" storeType="OMEX"/>
  </we:alternateReferences>
  <we:properties>
    <we:property name="paperpal-document-id" value="&quot;4c7cdfe3-c561-4c69-ae2b-57a9ecb87812&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0</TotalTime>
  <Pages>5</Pages>
  <Words>16379</Words>
  <Characters>90086</Characters>
  <Application>Microsoft Office Word</Application>
  <DocSecurity>0</DocSecurity>
  <Lines>750</Lines>
  <Paragraphs>212</Paragraphs>
  <ScaleCrop>false</ScaleCrop>
  <HeadingPairs>
    <vt:vector size="2" baseType="variant">
      <vt:variant>
        <vt:lpstr>Titel</vt:lpstr>
      </vt:variant>
      <vt:variant>
        <vt:i4>1</vt:i4>
      </vt:variant>
    </vt:vector>
  </HeadingPairs>
  <TitlesOfParts>
    <vt:vector size="1" baseType="lpstr">
      <vt:lpstr>Provisional Doctoral Plan — PARADISE</vt:lpstr>
    </vt:vector>
  </TitlesOfParts>
  <Company>KU Leuven</Company>
  <LinksUpToDate>false</LinksUpToDate>
  <CharactersWithSpaces>106253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Provisional Doctoral Plan — PARADISE</dc:title>
  <dc:subject/>
  <dc:creator>PARADISE PhD</dc:creator>
  <cp:keywords/>
  <dc:description/>
  <cp:lastModifiedBy>Janou De Buyser</cp:lastModifiedBy>
  <cp:revision>106</cp:revision>
  <dcterms:created xsi:type="dcterms:W3CDTF">2026-07-17T12:03:00Z</dcterms:created>
  <dcterms:modified xsi:type="dcterms:W3CDTF">2026-09-03T06:52:00Z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id="tqCw7mVE"/&gt;&lt;style id="http://www.zotero.org/styles/nlm-citation-sequence-superscript-year-only-no-issue" locale="nl-NL" hasBibliography="1" bibliographyStyleHasBeenSet="1"/&gt;&lt;prefs&gt;&lt;pref name="fiel</vt:lpwstr>
  </property>
  <property fmtid="{D5CDD505-2E9C-101B-9397-08002B2CF9AE}" pid="3" name="ZOTERO_PREF_2">
    <vt:lpwstr>dType" value="Field"/&gt;&lt;pref name="automaticJournalAbbreviations" value="true"/&gt;&lt;/prefs&gt;&lt;/data&gt;</vt:lpwstr>
  </property>
</Properties>
</file>