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D8DB0"/>
          <w:sz w:val="16"/>
        </w:rPr>
        <w:t>PARADISE  ·  WERKPAKKET 3</w:t>
      </w:r>
    </w:p>
    <w:p>
      <w:pPr>
        <w:spacing w:after="40"/>
      </w:pPr>
      <w:r>
        <w:rPr>
          <w:b/>
          <w:color w:val="00407A"/>
          <w:sz w:val="38"/>
        </w:rPr>
        <w:t>Gezondheidseconomie — overleg Koen Putman</w:t>
      </w:r>
    </w:p>
    <w:p>
      <w:pPr>
        <w:spacing w:after="160"/>
      </w:pPr>
      <w:r>
        <w:rPr>
          <w:b w:val="0"/>
          <w:color w:val="5A6A78"/>
          <w:sz w:val="18"/>
        </w:rPr>
        <w:t>24 september 2026  ·  werkdocument</w:t>
      </w:r>
    </w:p>
    <w:p>
      <w:pPr>
        <w:spacing w:after="120"/>
      </w:pPr>
      <w:r>
        <w:rPr>
          <w:b w:val="0"/>
          <w:color w:val="1B2630"/>
          <w:sz w:val="19"/>
        </w:rPr>
        <w:t>Het manuscript legt de opzet van de economische evaluatie al vrij volledig vast. Wat ontbreekt is niet de opzet maar de uitvoering: de parameters die je nodig hebt om te rékenen, en de regels die bepalen welke bron wint als twee bronnen hetzelfde meten. Dit document zet naast elkaar wat vastligt, wat het manuscript vaag laat, en welke zes vragen beslist moeten worden.</w:t>
      </w:r>
    </w:p>
    <w:p>
      <w:pPr>
        <w:spacing w:after="40"/>
      </w:pPr>
      <w:r>
        <w:rPr>
          <w:b w:val="0"/>
          <w:color w:val="5A6A78"/>
          <w:sz w:val="16"/>
        </w:rPr>
        <w:t>De KCE-richtlijn is nagekeken in de derde editie van mei 2025 (rapport 400), niet in de tweede editie van 2012 die meestal geciteerd wordt.</w:t>
      </w:r>
    </w:p>
    <w:p>
      <w:pPr>
        <w:spacing w:before="300" w:after="100"/>
      </w:pPr>
      <w:r>
        <w:rPr>
          <w:b/>
          <w:color w:val="FF7A00"/>
          <w:sz w:val="22"/>
        </w:rPr>
        <w:t>1  Wat vastligt — niet heropenen</w:t>
      </w:r>
    </w:p>
    <w:p>
      <w:pPr>
        <w:spacing w:after="100"/>
      </w:pPr>
      <w:r>
        <w:rPr>
          <w:b w:val="0"/>
          <w:color w:val="5A6A78"/>
          <w:sz w:val="17"/>
        </w:rPr>
        <w:t>Staat zo in het manuscript. Hier alleen zodat het overleg er geen tijd aan besteedt.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Pr>
      <w:tblGrid>
        <w:gridCol w:w="5100"/>
        <w:gridCol w:w="5100"/>
      </w:tblGrid>
      <w:tr>
        <w:tc>
          <w:tcPr>
            <w:tcW w:type="dxa" w:w="2494"/>
            <w:shd w:val="clear" w:fill="1D8DB0"/>
          </w:tcPr>
          <w:p>
            <w:pPr>
              <w:spacing w:before="40" w:after="40"/>
            </w:pPr>
            <w:r>
              <w:rPr>
                <w:b/>
                <w:color w:val="FFFFFF"/>
                <w:sz w:val="16"/>
              </w:rPr>
              <w:t>ONDERDEEL</w:t>
            </w:r>
          </w:p>
        </w:tc>
        <w:tc>
          <w:tcPr>
            <w:tcW w:type="dxa" w:w="7370"/>
            <w:shd w:val="clear" w:fill="1D8DB0"/>
          </w:tcPr>
          <w:p>
            <w:pPr>
              <w:spacing w:before="40" w:after="40"/>
            </w:pPr>
            <w:r>
              <w:rPr>
                <w:b/>
                <w:color w:val="FFFFFF"/>
                <w:sz w:val="16"/>
              </w:rPr>
              <w:t>ZOALS HET VASTLIGT</w:t>
            </w:r>
          </w:p>
        </w:tc>
      </w:tr>
      <w:tr>
        <w:tc>
          <w:tcPr>
            <w:tcW w:type="dxa" w:w="2494"/>
          </w:tcPr>
          <w:p>
            <w:pPr>
              <w:spacing w:before="40" w:after="40"/>
            </w:pPr>
            <w:r>
              <w:rPr>
                <w:color w:val="1B2630"/>
                <w:sz w:val="17"/>
              </w:rPr>
              <w:t>Analysetype</w:t>
            </w:r>
          </w:p>
        </w:tc>
        <w:tc>
          <w:tcPr>
            <w:tcW w:type="dxa" w:w="7370"/>
          </w:tcPr>
          <w:p>
            <w:pPr>
              <w:spacing w:before="40" w:after="40"/>
            </w:pPr>
            <w:r>
              <w:rPr>
                <w:color w:val="1B2630"/>
                <w:sz w:val="17"/>
              </w:rPr>
              <w:t>Kosteneffectiviteit én kostenutiliteit over de 18-maandenhorizon van de trial.</w:t>
            </w:r>
          </w:p>
        </w:tc>
      </w:tr>
      <w:tr>
        <w:tc>
          <w:tcPr>
            <w:tcW w:type="dxa" w:w="2494"/>
          </w:tcPr>
          <w:p>
            <w:pPr>
              <w:spacing w:before="40" w:after="40"/>
            </w:pPr>
            <w:r>
              <w:rPr>
                <w:color w:val="1B2630"/>
                <w:sz w:val="17"/>
              </w:rPr>
              <w:t>Perspectief</w:t>
            </w:r>
          </w:p>
        </w:tc>
        <w:tc>
          <w:tcPr>
            <w:tcW w:type="dxa" w:w="7370"/>
          </w:tcPr>
          <w:p>
            <w:pPr>
              <w:spacing w:before="40" w:after="40"/>
            </w:pPr>
            <w:r>
              <w:rPr>
                <w:color w:val="1B2630"/>
                <w:sz w:val="17"/>
              </w:rPr>
              <w:t>Betaler in de referentieanalyse, maatschappelijk in de gevoeligheidsanalyse.</w:t>
            </w:r>
          </w:p>
        </w:tc>
      </w:tr>
      <w:tr>
        <w:tc>
          <w:tcPr>
            <w:tcW w:type="dxa" w:w="2494"/>
          </w:tcPr>
          <w:p>
            <w:pPr>
              <w:spacing w:before="40" w:after="40"/>
            </w:pPr>
            <w:r>
              <w:rPr>
                <w:color w:val="1B2630"/>
                <w:sz w:val="17"/>
              </w:rPr>
              <w:t>Primair economisch eindpunt</w:t>
            </w:r>
          </w:p>
        </w:tc>
        <w:tc>
          <w:tcPr>
            <w:tcW w:type="dxa" w:w="7370"/>
          </w:tcPr>
          <w:p>
            <w:pPr>
              <w:spacing w:before="40" w:after="40"/>
            </w:pPr>
            <w:r>
              <w:rPr>
                <w:color w:val="1B2630"/>
                <w:sz w:val="17"/>
              </w:rPr>
              <w:t>De ICUR.</w:t>
            </w:r>
          </w:p>
        </w:tc>
      </w:tr>
      <w:tr>
        <w:tc>
          <w:tcPr>
            <w:tcW w:type="dxa" w:w="2494"/>
          </w:tcPr>
          <w:p>
            <w:pPr>
              <w:spacing w:before="40" w:after="40"/>
            </w:pPr>
            <w:r>
              <w:rPr>
                <w:color w:val="1B2630"/>
                <w:sz w:val="17"/>
              </w:rPr>
              <w:t>Waardeset</w:t>
            </w:r>
          </w:p>
        </w:tc>
        <w:tc>
          <w:tcPr>
            <w:tcW w:type="dxa" w:w="7370"/>
          </w:tcPr>
          <w:p>
            <w:pPr>
              <w:spacing w:before="40" w:after="40"/>
            </w:pPr>
            <w:r>
              <w:rPr>
                <w:color w:val="1B2630"/>
                <w:sz w:val="17"/>
              </w:rPr>
              <w:t>De Belgische. Bouckaert e.a. 2022 staat al in de referentielijst.</w:t>
            </w:r>
          </w:p>
        </w:tc>
      </w:tr>
      <w:tr>
        <w:tc>
          <w:tcPr>
            <w:tcW w:type="dxa" w:w="2494"/>
          </w:tcPr>
          <w:p>
            <w:pPr>
              <w:spacing w:before="40" w:after="40"/>
            </w:pPr>
            <w:r>
              <w:rPr>
                <w:color w:val="1B2630"/>
                <w:sz w:val="17"/>
              </w:rPr>
              <w:t>Rapportering</w:t>
            </w:r>
          </w:p>
        </w:tc>
        <w:tc>
          <w:tcPr>
            <w:tcW w:type="dxa" w:w="7370"/>
          </w:tcPr>
          <w:p>
            <w:pPr>
              <w:spacing w:before="40" w:after="40"/>
            </w:pPr>
            <w:r>
              <w:rPr>
                <w:color w:val="1B2630"/>
                <w:sz w:val="17"/>
              </w:rPr>
              <w:t>CHEERS.</w:t>
            </w:r>
          </w:p>
        </w:tc>
      </w:tr>
      <w:tr>
        <w:tc>
          <w:tcPr>
            <w:tcW w:type="dxa" w:w="2494"/>
          </w:tcPr>
          <w:p>
            <w:pPr>
              <w:spacing w:before="40" w:after="40"/>
            </w:pPr>
            <w:r>
              <w:rPr>
                <w:color w:val="1B2630"/>
                <w:sz w:val="17"/>
              </w:rPr>
              <w:t>Onzekerheid</w:t>
            </w:r>
          </w:p>
        </w:tc>
        <w:tc>
          <w:tcPr>
            <w:tcW w:type="dxa" w:w="7370"/>
          </w:tcPr>
          <w:p>
            <w:pPr>
              <w:spacing w:before="40" w:after="40"/>
            </w:pPr>
            <w:r>
              <w:rPr>
                <w:color w:val="1B2630"/>
                <w:sz w:val="17"/>
              </w:rPr>
              <w:t>Deterministisch én probabilistisch, Monte Carlo met 10 000 iteraties, met kosteneffectiviteitsvlak en CEAC.</w:t>
            </w:r>
          </w:p>
        </w:tc>
      </w:tr>
      <w:tr>
        <w:tc>
          <w:tcPr>
            <w:tcW w:type="dxa" w:w="2494"/>
          </w:tcPr>
          <w:p>
            <w:pPr>
              <w:spacing w:before="40" w:after="40"/>
            </w:pPr>
            <w:r>
              <w:rPr>
                <w:color w:val="1B2630"/>
                <w:sz w:val="17"/>
              </w:rPr>
              <w:t>Extrapolatie</w:t>
            </w:r>
          </w:p>
        </w:tc>
        <w:tc>
          <w:tcPr>
            <w:tcW w:type="dxa" w:w="7370"/>
          </w:tcPr>
          <w:p>
            <w:pPr>
              <w:spacing w:before="40" w:after="40"/>
            </w:pPr>
            <w:r>
              <w:rPr>
                <w:color w:val="1B2630"/>
                <w:sz w:val="17"/>
              </w:rPr>
              <w:t>Markov naar vijf jaar, zes toestanden: ulcusvrij, actief ulcus, genezen, kleine amputatie, grote amputatie, overlijden.</w:t>
            </w:r>
          </w:p>
        </w:tc>
      </w:tr>
      <w:tr>
        <w:tc>
          <w:tcPr>
            <w:tcW w:type="dxa" w:w="2494"/>
          </w:tcPr>
          <w:p>
            <w:pPr>
              <w:spacing w:before="40" w:after="40"/>
            </w:pPr>
            <w:r>
              <w:rPr>
                <w:color w:val="1B2630"/>
                <w:sz w:val="17"/>
              </w:rPr>
              <w:t>Kostenverzameling</w:t>
            </w:r>
          </w:p>
        </w:tc>
        <w:tc>
          <w:tcPr>
            <w:tcW w:type="dxa" w:w="7370"/>
          </w:tcPr>
          <w:p>
            <w:pPr>
              <w:spacing w:before="40" w:after="40"/>
            </w:pPr>
            <w:r>
              <w:rPr>
                <w:color w:val="1B2630"/>
                <w:sz w:val="17"/>
              </w:rPr>
              <w:t>Prospectief via dagboek, iMCQ en iPCQ, aangevuld met dossierextractie. Ulcuskosten geobserveerd, niet geïmputeerd; Eurodiale alleen voor sensitiviteit.</w:t>
            </w:r>
          </w:p>
        </w:tc>
      </w:tr>
      <w:tr>
        <w:tc>
          <w:tcPr>
            <w:tcW w:type="dxa" w:w="2494"/>
          </w:tcPr>
          <w:p>
            <w:pPr>
              <w:spacing w:before="40" w:after="40"/>
            </w:pPr>
            <w:r>
              <w:rPr>
                <w:color w:val="1B2630"/>
                <w:sz w:val="17"/>
              </w:rPr>
              <w:t>Dubbele rapportering</w:t>
            </w:r>
          </w:p>
        </w:tc>
        <w:tc>
          <w:tcPr>
            <w:tcW w:type="dxa" w:w="7370"/>
          </w:tcPr>
          <w:p>
            <w:pPr>
              <w:spacing w:before="40" w:after="40"/>
            </w:pPr>
            <w:r>
              <w:rPr>
                <w:color w:val="1B2630"/>
                <w:sz w:val="17"/>
              </w:rPr>
              <w:t>Kost per vermeden ulcus én kost per QALY naast elkaar — bewust, omdat die twee bij DIATEMP uiteenliepen.</w:t>
            </w:r>
          </w:p>
        </w:tc>
      </w:tr>
      <w:tr>
        <w:tc>
          <w:tcPr>
            <w:tcW w:type="dxa" w:w="2494"/>
          </w:tcPr>
          <w:p>
            <w:pPr>
              <w:spacing w:before="40" w:after="40"/>
            </w:pPr>
            <w:r>
              <w:rPr>
                <w:color w:val="1B2630"/>
                <w:sz w:val="17"/>
              </w:rPr>
              <w:t>Beslissingskader</w:t>
            </w:r>
          </w:p>
        </w:tc>
        <w:tc>
          <w:tcPr>
            <w:tcW w:type="dxa" w:w="7370"/>
          </w:tcPr>
          <w:p>
            <w:pPr>
              <w:spacing w:before="40" w:after="40"/>
            </w:pPr>
            <w:r>
              <w:rPr>
                <w:color w:val="1B2630"/>
                <w:sz w:val="17"/>
              </w:rPr>
              <w:t>Een terugbetalingsbeslissing. Schoeisel is in België terugbetaald, de drukmeting en de tijd om ernaar te handelen niet.</w:t>
            </w:r>
          </w:p>
        </w:tc>
      </w:tr>
    </w:tbl>
    <w:p>
      <w:pPr>
        <w:spacing w:before="300" w:after="100"/>
      </w:pPr>
      <w:r>
        <w:rPr>
          <w:b/>
          <w:color w:val="FF7A00"/>
          <w:sz w:val="22"/>
        </w:rPr>
        <w:t>2  Zes vragen</w:t>
      </w:r>
    </w:p>
    <w:p>
      <w:pPr>
        <w:spacing w:after="100"/>
      </w:pPr>
      <w:r>
        <w:rPr>
          <w:b w:val="0"/>
          <w:color w:val="5A6A78"/>
          <w:sz w:val="17"/>
        </w:rPr>
        <w:t>De eerste drie raken de eCRF’s en moeten dus vóór de versie-lock beslist zijn. De laatste drie horen in het analyseplan van oktober.</w:t>
      </w:r>
    </w:p>
    <w:p>
      <w:pPr>
        <w:spacing w:after="100"/>
        <w:ind w:left="425" w:hanging="425"/>
      </w:pPr>
      <w:r>
        <w:rPr>
          <w:b/>
          <w:color w:val="FF7A00"/>
          <w:sz w:val="18"/>
        </w:rPr>
        <w:t xml:space="preserve">1.  </w:t>
      </w:r>
      <w:r>
        <w:rPr>
          <w:b/>
          <w:color w:val="1B2630"/>
          <w:sz w:val="18"/>
        </w:rPr>
        <w:t xml:space="preserve">Wat is de meerwaarde van de iMCQ náást het dagboek?  </w:t>
      </w:r>
      <w:r>
        <w:rPr>
          <w:b w:val="0"/>
          <w:color w:val="5A6A78"/>
          <w:sz w:val="18"/>
        </w:rPr>
        <w:t>Item voor item vergeleken. Op de dure posten is de overlap zo goed als volledig: medicatie, paramédische contacten, consultaties, thuiszorg, dagziekenhuis en opname zitten in béíde, en de deelnemer vult ze op hetzelfde bezoek twee keer in. Maar het is geen zuivere dubbel. De iMCQ heeft vier dingen die het dagboek mist: spoedgevallen, ambulance, mantelzorg in uren en vervoer met afstand. De laatste twee heb je nodig voor de maatschappelijke analyse. Het dagboek heeft drie dingen die de iMCQ mist: voetzorgmateriaal en hulpmiddelen — de één categorie die er in deze studie het meest toe doet, en waar de iMCQ geen vakje voor heeft — het remgeld in euro, dat het KCE-referentiekader vraagt, en prospectieve registratie in plaats van drie maanden terugblikken. Het dagboek is dus niet vervangbaar; de iMCQ in principe wel, maar dan verlies je die vier categorieën en een gevalideerd instrument. De vraag is niet of we allebei houden, maar welk van de twee de ruggengraat is en welke bron wint waar ze elkaar overlappen.</w:t>
      </w:r>
    </w:p>
    <w:p>
      <w:pPr>
        <w:spacing w:after="100"/>
        <w:ind w:left="425" w:hanging="425"/>
      </w:pPr>
      <w:r>
        <w:rPr>
          <w:b/>
          <w:color w:val="FF7A00"/>
          <w:sz w:val="18"/>
        </w:rPr>
        <w:t xml:space="preserve">2.  </w:t>
      </w:r>
      <w:r>
        <w:rPr>
          <w:b/>
          <w:color w:val="1B2630"/>
          <w:sz w:val="18"/>
        </w:rPr>
        <w:t xml:space="preserve">De iMCQ aanpassen voor België, of het Nederlandse origineel gebruiken?  </w:t>
      </w:r>
      <w:r>
        <w:rPr>
          <w:b w:val="0"/>
          <w:color w:val="5A6A78"/>
          <w:sz w:val="18"/>
        </w:rPr>
        <w:t>Ik had dit zwaarder voorgesteld dan het is. Van de twintig zorgvragen is er precies één Nederlands-specifiek — vraag 9 over de bedrijfsarts, en die zal in deze populatie vrijwel altijd nul zijn. De rest zijn tellingen van contacten die in beide stelsels bestaan, en de waardering gebeurt achteraf met Belgische tarieven, dus een Nederlands etiket bederft de kostenberekening niet. Wat wél onbruikbaar is, is de algemene vraag A4 over opleiding: die somt mavo, havo, vwo, mbo en hbo op, en daar vindt geen enkele Vlaamse deelnemer zichzelf in terug. Maar A4 en A5 dubbelen met eCRF 07, dus de eenvoudige oplossing is die algemene sectie niet af te nemen. Voorstel: het Nederlandse origineel ongewijzigd gebruiken, de A-sectie overslaan, en het als kleine beperking vermelden. Dan volstaat een gebruikstoestemming bij iMTA en hoeven we geen aanpassing te laten goedkeuren.</w:t>
      </w:r>
    </w:p>
    <w:p>
      <w:pPr>
        <w:spacing w:after="100"/>
        <w:ind w:left="425" w:hanging="425"/>
      </w:pPr>
      <w:r>
        <w:rPr>
          <w:b/>
          <w:color w:val="FF7A00"/>
          <w:sz w:val="18"/>
        </w:rPr>
        <w:t xml:space="preserve">3.  </w:t>
      </w:r>
      <w:r>
        <w:rPr>
          <w:b/>
          <w:color w:val="1B2630"/>
          <w:sz w:val="18"/>
        </w:rPr>
        <w:t xml:space="preserve">Hoort de iMCQ ook op baseline?  </w:t>
      </w:r>
      <w:r>
        <w:rPr>
          <w:b w:val="0"/>
          <w:color w:val="5A6A78"/>
          <w:sz w:val="18"/>
        </w:rPr>
        <w:t>Nu start de iMCQ pas op maand 3; alleen dagboek 45 staat op visite 1. Zonder zorggebruik bij aanvang kunnen we niet corrigeren voor een onevenwicht tussen de armen bij de start — het equivalent van de baselinecorrectie die we voor de utiliteit wél doen. Dit toevoegen kan nu nog; na de versie-lock is het een amendement.</w:t>
      </w:r>
    </w:p>
    <w:p>
      <w:pPr>
        <w:spacing w:after="100"/>
        <w:ind w:left="425" w:hanging="425"/>
      </w:pPr>
      <w:r>
        <w:rPr>
          <w:b/>
          <w:color w:val="FF7A00"/>
          <w:sz w:val="18"/>
        </w:rPr>
        <w:t xml:space="preserve">4.  </w:t>
      </w:r>
      <w:r>
        <w:rPr>
          <w:b/>
          <w:color w:val="1B2630"/>
          <w:sz w:val="18"/>
        </w:rPr>
        <w:t xml:space="preserve">Wat doen we met het ontbreken van een drempelwaarde?  </w:t>
      </w:r>
      <w:r>
        <w:rPr>
          <w:b w:val="0"/>
          <w:color w:val="5A6A78"/>
          <w:sz w:val="18"/>
        </w:rPr>
        <w:t>KCE 400 is uitdrukkelijk: België gebruikt geen expliciete drempel, en drempels uit andere landen mag je niet overnemen, niet aan België aanpassen en niet indexeren. Ons manuscript noemt €50 000 per QALY, maar als beschrijving van wat DIATEMP rapporteerde — dat is legitiem. De vraag is wat wíj straks rapporteren: alleen de volledige CEAC zonder drempel, of met een referentiepunt en de waarschuwing erbij?</w:t>
      </w:r>
    </w:p>
    <w:p>
      <w:pPr>
        <w:spacing w:after="100"/>
        <w:ind w:left="425" w:hanging="425"/>
      </w:pPr>
      <w:r>
        <w:rPr>
          <w:b/>
          <w:color w:val="FF7A00"/>
          <w:sz w:val="18"/>
        </w:rPr>
        <w:t xml:space="preserve">5.  </w:t>
      </w:r>
      <w:r>
        <w:rPr>
          <w:b/>
          <w:color w:val="1B2630"/>
          <w:sz w:val="18"/>
        </w:rPr>
        <w:t xml:space="preserve">Wat blijft er van de iPCQ over?  </w:t>
      </w:r>
      <w:r>
        <w:rPr>
          <w:b w:val="0"/>
          <w:color w:val="5A6A78"/>
          <w:sz w:val="18"/>
        </w:rPr>
        <w:t>Ook hier zit dubbel werk in. De hele A-sectie van de iPCQ — datum, geboortedatum, geslacht, opleiding, dagbesteding, betaald werk ja/nee — staat al in eCRF 07, en daar in Belgische categorieën: voltijds, deeltijds, werkzoekend, gepensioneerd, arbeidsongeschikt. Diezelfde A-sectie staat bovendien woord voor woord in de iMCQ, dus wie op hetzelfde bezoek allebei invult, beantwoordt ze twee keer na elkaar. Mantelzorg staat zelfs op drie plaatsen: eCRF 07 punt 1.10 vraagt of iemand mantelzorg ontvangt of verleent, iMCQ vraag 19 vraagt de werkelijk ontvangen uren per soort, en iPCQ vraag 12 vraagt hoeveel uur iemand nódig zou hebben gehad om het onbetaalde werk over te nemen. Die laatste twee zijn conceptueel verschillend, maar als de partner het huishouden écht heeft gedaan, staan dezelfde uren mogelijk in allebei. Daar moet een regel voor komen. En de terugblikvensters lopen niet gelijk: de iMCQ kijkt drie maanden terug, de iPCQ vier weken, allebei op een driemaandelijks bezoek — twee derde van elk kwartaal blijft dus ongemeten voor productiviteit. Wat de iPCQ wél uniek levert is verzuim, presenteïsme en verlies aan onbetaald werk. Maar KCE zet productiviteitskosten buiten het referentiekader, en eCRF 07 laat ons nu al voorspellen hoeveel van de 144 überhaupt betaald werk hebben. Is dat weinig, dan routeert de iPCQ zichzelf meteen naar vraag 10 en blijven er drie vragen over.</w:t>
      </w:r>
    </w:p>
    <w:p>
      <w:pPr>
        <w:spacing w:after="100"/>
        <w:ind w:left="425" w:hanging="425"/>
      </w:pPr>
      <w:r>
        <w:rPr>
          <w:b/>
          <w:color w:val="FF7A00"/>
          <w:sz w:val="18"/>
        </w:rPr>
        <w:t xml:space="preserve">6.  </w:t>
      </w:r>
      <w:r>
        <w:rPr>
          <w:b/>
          <w:color w:val="1B2630"/>
          <w:sz w:val="18"/>
        </w:rPr>
        <w:t xml:space="preserve">Wie bouwt het model, en wanneer begint dat?  </w:t>
      </w:r>
      <w:r>
        <w:rPr>
          <w:b w:val="0"/>
          <w:color w:val="5A6A78"/>
          <w:sz w:val="18"/>
        </w:rPr>
        <w:t>MS7 en MS8 vallen op maand 42, maar het Markov-model vraagt keuzes die nu al vastliggen in wat we méten: cyclusduur, utiliteiten per toestand met hun bron, en welke transitiekansen uit de trial komen en welke uit de literatuur. Wie bouwt het, in welke software, en wie doet de trial-based analyse?</w:t>
      </w:r>
    </w:p>
    <w:p>
      <w:pPr>
        <w:spacing w:before="300" w:after="100"/>
      </w:pPr>
      <w:r>
        <w:rPr>
          <w:b/>
          <w:color w:val="FF7A00"/>
          <w:sz w:val="22"/>
        </w:rPr>
        <w:t>3  Wat het manuscript vaag laat, en wat KCE 400 erover zegt</w:t>
      </w:r>
    </w:p>
    <w:p>
      <w:pPr>
        <w:spacing w:after="100"/>
      </w:pPr>
      <w:r>
        <w:rPr>
          <w:b w:val="0"/>
          <w:color w:val="5A6A78"/>
          <w:sz w:val="17"/>
        </w:rPr>
        <w:t>Zeven plaatsen. Bij elk staat al wat de richtlijn vraagt, zodat het overleg alleen nog moet bevestigen.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Pr>
      <w:tblGrid>
        <w:gridCol w:w="5100"/>
        <w:gridCol w:w="5100"/>
      </w:tblGrid>
      <w:tr>
        <w:tc>
          <w:tcPr>
            <w:tcW w:type="dxa" w:w="3515"/>
            <w:shd w:val="clear" w:fill="1D8DB0"/>
          </w:tcPr>
          <w:p>
            <w:pPr>
              <w:spacing w:before="40" w:after="40"/>
            </w:pPr>
            <w:r>
              <w:rPr>
                <w:b/>
                <w:color w:val="FFFFFF"/>
                <w:sz w:val="16"/>
              </w:rPr>
              <w:t>WAT ER NU STAAT</w:t>
            </w:r>
          </w:p>
        </w:tc>
        <w:tc>
          <w:tcPr>
            <w:tcW w:type="dxa" w:w="6350"/>
            <w:shd w:val="clear" w:fill="1D8DB0"/>
          </w:tcPr>
          <w:p>
            <w:pPr>
              <w:spacing w:before="40" w:after="40"/>
            </w:pPr>
            <w:r>
              <w:rPr>
                <w:b/>
                <w:color w:val="FFFFFF"/>
                <w:sz w:val="16"/>
              </w:rPr>
              <w:t>WAT DE RICHTLIJN VRAAGT</w:t>
            </w:r>
          </w:p>
        </w:tc>
      </w:tr>
      <w:tr>
        <w:tc>
          <w:tcPr>
            <w:tcW w:type="dxa" w:w="3515"/>
          </w:tcPr>
          <w:p>
            <w:pPr>
              <w:spacing w:before="40" w:after="40"/>
            </w:pPr>
            <w:r>
              <w:rPr>
                <w:color w:val="1B2630"/>
                <w:sz w:val="17"/>
              </w:rPr>
              <w:t>“discounted at rates specified in the Belgian HTA guidance” — zonder getallen</w:t>
            </w:r>
          </w:p>
        </w:tc>
        <w:tc>
          <w:tcPr>
            <w:tcW w:type="dxa" w:w="6350"/>
          </w:tcPr>
          <w:p>
            <w:pPr>
              <w:spacing w:before="40" w:after="40"/>
            </w:pPr>
            <w:r>
              <w:rPr>
                <w:color w:val="1B2630"/>
                <w:sz w:val="17"/>
              </w:rPr>
              <w:t>3% voor kosten, 1,5% voor effecten in de referentieanalyse. Plus — en dit staat nu niet in het manuscript — verplichte scenario’s met een gelijke voet van 0%, 3% en 5% voor kosten én effecten.</w:t>
            </w:r>
          </w:p>
        </w:tc>
      </w:tr>
      <w:tr>
        <w:tc>
          <w:tcPr>
            <w:tcW w:type="dxa" w:w="3515"/>
          </w:tcPr>
          <w:p>
            <w:pPr>
              <w:spacing w:before="40" w:after="40"/>
            </w:pPr>
            <w:r>
              <w:rPr>
                <w:color w:val="1B2630"/>
                <w:sz w:val="17"/>
              </w:rPr>
              <w:t>“valued using standard reference prices”</w:t>
            </w:r>
          </w:p>
        </w:tc>
        <w:tc>
          <w:tcPr>
            <w:tcW w:type="dxa" w:w="6350"/>
          </w:tcPr>
          <w:p>
            <w:pPr>
              <w:spacing w:before="40" w:after="40"/>
            </w:pPr>
            <w:r>
              <w:rPr>
                <w:color w:val="1B2630"/>
                <w:sz w:val="17"/>
              </w:rPr>
              <w:t>Gevalideerde bronnen voor de eenheidsprijzen, expliciet benoemd. CHEERS vraagt daarnaast de valuta en het prijsjaar. Beide ontbreken nu.</w:t>
            </w:r>
          </w:p>
        </w:tc>
      </w:tr>
      <w:tr>
        <w:tc>
          <w:tcPr>
            <w:tcW w:type="dxa" w:w="3515"/>
          </w:tcPr>
          <w:p>
            <w:pPr>
              <w:spacing w:before="40" w:after="40"/>
            </w:pPr>
            <w:r>
              <w:rPr>
                <w:color w:val="1B2630"/>
                <w:sz w:val="17"/>
              </w:rPr>
              <w:t>“where no national value set applies…”</w:t>
            </w:r>
          </w:p>
        </w:tc>
        <w:tc>
          <w:tcPr>
            <w:tcW w:type="dxa" w:w="6350"/>
          </w:tcPr>
          <w:p>
            <w:pPr>
              <w:spacing w:before="40" w:after="40"/>
            </w:pPr>
            <w:r>
              <w:rPr>
                <w:color w:val="1B2630"/>
                <w:sz w:val="17"/>
              </w:rPr>
              <w:t>Die uitwijkclausule is achterhaald: er ís een Belgische EQ-5D-5L-waardeset. KCE vraagt de meest recente indexwaardeset. Schrap de clausule en noem Bouckaert e.a. 2022 rechtstreeks.</w:t>
            </w:r>
          </w:p>
        </w:tc>
      </w:tr>
      <w:tr>
        <w:tc>
          <w:tcPr>
            <w:tcW w:type="dxa" w:w="3515"/>
          </w:tcPr>
          <w:p>
            <w:pPr>
              <w:spacing w:before="40" w:after="40"/>
            </w:pPr>
            <w:r>
              <w:rPr>
                <w:color w:val="1B2630"/>
                <w:sz w:val="17"/>
              </w:rPr>
              <w:t>Markov met zes toestanden benoemd</w:t>
            </w:r>
          </w:p>
        </w:tc>
        <w:tc>
          <w:tcPr>
            <w:tcW w:type="dxa" w:w="6350"/>
          </w:tcPr>
          <w:p>
            <w:pPr>
              <w:spacing w:before="40" w:after="40"/>
            </w:pPr>
            <w:r>
              <w:rPr>
                <w:color w:val="1B2630"/>
                <w:sz w:val="17"/>
              </w:rPr>
              <w:t>Cyclusduur staat er niet, half-cycle correctie ook niet — die wordt aanbevolen. Utiliteiten per toestand moeten met hun bron vermeld worden.</w:t>
            </w:r>
          </w:p>
        </w:tc>
      </w:tr>
      <w:tr>
        <w:tc>
          <w:tcPr>
            <w:tcW w:type="dxa" w:w="3515"/>
          </w:tcPr>
          <w:p>
            <w:pPr>
              <w:spacing w:before="40" w:after="40"/>
            </w:pPr>
            <w:r>
              <w:rPr>
                <w:color w:val="1B2630"/>
                <w:sz w:val="17"/>
              </w:rPr>
              <w:t>Horizon van vijf jaar</w:t>
            </w:r>
          </w:p>
        </w:tc>
        <w:tc>
          <w:tcPr>
            <w:tcW w:type="dxa" w:w="6350"/>
          </w:tcPr>
          <w:p>
            <w:pPr>
              <w:spacing w:before="40" w:after="40"/>
            </w:pPr>
            <w:r>
              <w:rPr>
                <w:color w:val="1B2630"/>
                <w:sz w:val="17"/>
              </w:rPr>
              <w:t>De horizon moet aansluiten bij de periode waarin de verschillen verwacht worden, en bij een gemodelleerde horizon moeten kórtere horizonnen als scenario gepresenteerd worden. Argumenteer dus waarom vijf jaar en niet levenslang.</w:t>
            </w:r>
          </w:p>
        </w:tc>
      </w:tr>
      <w:tr>
        <w:tc>
          <w:tcPr>
            <w:tcW w:type="dxa" w:w="3515"/>
          </w:tcPr>
          <w:p>
            <w:pPr>
              <w:spacing w:before="40" w:after="40"/>
            </w:pPr>
            <w:r>
              <w:rPr>
                <w:color w:val="1B2630"/>
                <w:sz w:val="17"/>
              </w:rPr>
              <w:t>“societal perspective in the sensitivity analysis”</w:t>
            </w:r>
          </w:p>
        </w:tc>
        <w:tc>
          <w:tcPr>
            <w:tcW w:type="dxa" w:w="6350"/>
          </w:tcPr>
          <w:p>
            <w:pPr>
              <w:spacing w:before="40" w:after="40"/>
            </w:pPr>
            <w:r>
              <w:rPr>
                <w:color w:val="1B2630"/>
                <w:sz w:val="17"/>
              </w:rPr>
              <w:t>Klopt met de richtlijn: productiviteitskosten horen niet in de referentieanalyse. Maar in de complementaire analyse moet het effect met harde data aangetoond worden — zie vraag 5.</w:t>
            </w:r>
          </w:p>
        </w:tc>
      </w:tr>
      <w:tr>
        <w:tc>
          <w:tcPr>
            <w:tcW w:type="dxa" w:w="3515"/>
          </w:tcPr>
          <w:p>
            <w:pPr>
              <w:spacing w:before="40" w:after="40"/>
            </w:pPr>
            <w:r>
              <w:rPr>
                <w:color w:val="1B2630"/>
                <w:sz w:val="17"/>
              </w:rPr>
              <w:t>“healthcare payer perspective”</w:t>
            </w:r>
          </w:p>
        </w:tc>
        <w:tc>
          <w:tcPr>
            <w:tcW w:type="dxa" w:w="6350"/>
          </w:tcPr>
          <w:p>
            <w:pPr>
              <w:spacing w:before="40" w:after="40"/>
            </w:pPr>
            <w:r>
              <w:rPr>
                <w:color w:val="1B2630"/>
                <w:sz w:val="17"/>
              </w:rPr>
              <w:t>Het referentiekader is ruimer dan vaak gedacht: overheid én privé betalers, inclusief het remgeld van de patiënt. Goed nieuws — de dagboeken vragen het remgeld al expliciet.</w:t>
            </w:r>
          </w:p>
        </w:tc>
      </w:tr>
    </w:tbl>
    <w:p>
      <w:pPr>
        <w:spacing w:before="300" w:after="100"/>
      </w:pPr>
      <w:r>
        <w:rPr>
          <w:b/>
          <w:color w:val="FF7A00"/>
          <w:sz w:val="22"/>
        </w:rPr>
        <w:t>4  Wat vóór de versie-lock beslist moet zijn</w:t>
      </w:r>
    </w:p>
    <w:p>
      <w:pPr>
        <w:spacing w:after="80"/>
      </w:pPr>
      <w:r>
        <w:rPr>
          <w:b w:val="0"/>
          <w:color w:val="1B2630"/>
          <w:sz w:val="18"/>
        </w:rPr>
        <w:t>Alleen vraag 1, 2 en 3 raken de eCRF’s en de databank. Een baseline-iMCQ toevoegen of de zorgcategorieën Belgisch maken verandert velden in REDCap, en na de lock is elke wijziging een amendement dat opnieuw langs de ethische commissie moet. Vraag 4, 5 en 6 gaan over de analyse en horen in het analyseplan van oktober — die kunnen wachten.</w:t>
      </w:r>
    </w:p>
    <w:p>
      <w:pPr>
        <w:spacing w:after="80"/>
      </w:pPr>
      <w:r>
        <w:rPr>
          <w:b w:val="0"/>
          <w:color w:val="1B2630"/>
          <w:sz w:val="18"/>
        </w:rPr>
        <w:t>Praktisch gevolg voor mij: als we voor het Nederlandse origineel gaan, vraagt de aanvraag bij iMTA alleen nog gebruikstoestemming en kan ze meteen weg. Gaan we toch aanpassen, dan moet die toestemming mee in dezelfde aanvraag en duurt het langer.</w:t>
      </w:r>
    </w:p>
    <w:p>
      <w:pPr>
        <w:spacing w:before="240" w:after="0"/>
      </w:pPr>
      <w:r>
        <w:rPr>
          <w:b w:val="0"/>
          <w:color w:val="5A6A78"/>
          <w:sz w:val="15"/>
        </w:rPr>
        <w:t>Bron: eigen controle van het manuscript, de eCRF-set en instrument_event_mapping.csv op 24 september 2026. Richtlijn: KCE-rapport 400, Belgian guidelines for economic evaluations and budget impact analyses, derde editie, mei 2025 — richtlijnen 3, 9, 10, 11, 12, 14 en 16.3. Beschikbare versies van iMCQ en iPCQ nagekeken bij iMTA.</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