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B3A5C"/>
          <w:sz w:val="30"/>
        </w:rPr>
        <w:t>Additional file 2. Completed TIDieR checklist</w:t>
      </w:r>
    </w:p>
    <w:p>
      <w:pPr>
        <w:spacing w:after="200"/>
      </w:pPr>
      <w:r>
        <w:rPr>
          <w:i w:val="0"/>
          <w:color w:val="1B3A5C"/>
          <w:sz w:val="19"/>
        </w:rPr>
        <w:t>Integrating offloading, adherence monitoring and behaviour change to prevent diabetic foot ulcer recurrence: protocol for the PARADISE multicentre randomised controlled trial</w:t>
      </w:r>
    </w:p>
    <w:p>
      <w:pPr>
        <w:spacing w:after="120"/>
      </w:pPr>
      <w:r>
        <w:rPr>
          <w:i w:val="0"/>
          <w:color w:val="5A6B7D"/>
          <w:sz w:val="18"/>
        </w:rPr>
        <w:t>This checklist records where each item of the Template for Intervention Description and Replication is addressed in the protocol manuscript. Locations are given as section headings; page numbers will be inserted at proof stage. Items 10 and 12 are marked not applicable in accordance with the TIDieR checklist, which states that these two items are not relevant to a protocol and cannot be described until the study is complete.</w:t>
      </w:r>
    </w:p>
    <w:p>
      <w:pPr>
        <w:spacing w:after="240"/>
      </w:pPr>
      <w:r>
        <w:rPr>
          <w:i/>
          <w:color w:val="5A6B7D"/>
          <w:sz w:val="17"/>
        </w:rPr>
        <w:t>Reference: Hoffmann TC, Glasziou PP, Boutron I, Milne R, Perera R, Moher D, et al. Better reporting of interventions: template for intervention description and replication (TIDieR) checklist and guide. BMJ. 2014;348:g1687.</w:t>
      </w:r>
    </w:p>
    <w:tbl>
      <w:tblPr>
        <w:tblW w:type="auto" w:w="0"/>
        <w:jc w:val="center"/>
        <w:tblLook w:firstColumn="1" w:firstRow="1" w:lastColumn="0" w:lastRow="0" w:noHBand="0" w:noVBand="1" w:val="04A0"/>
      </w:tblPr>
      <w:tblGrid>
        <w:gridCol w:w="2550"/>
        <w:gridCol w:w="2550"/>
        <w:gridCol w:w="2550"/>
        <w:gridCol w:w="2550"/>
      </w:tblGrid>
      <w:tr>
        <w:tc>
          <w:tcPr>
            <w:tcW w:type="dxa" w:w="680"/>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Item</w:t>
            </w:r>
          </w:p>
        </w:tc>
        <w:tc>
          <w:tcPr>
            <w:tcW w:type="dxa" w:w="1644"/>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Label</w:t>
            </w:r>
          </w:p>
        </w:tc>
        <w:tc>
          <w:tcPr>
            <w:tcW w:type="dxa" w:w="3628"/>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TIDieR item</w:t>
            </w:r>
          </w:p>
        </w:tc>
        <w:tc>
          <w:tcPr>
            <w:tcW w:type="dxa" w:w="4139"/>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Where addressed in the protocol</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1</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BRIEF NAME</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Provide the name or a phrase that describes the intervention.</w:t>
            </w:r>
          </w:p>
        </w:tc>
        <w:tc>
          <w:tcPr>
            <w:tcW w:type="dxa" w:w="4139"/>
            <w:tcBorders>
              <w:top w:val="single" w:sz="4" w:color="C8D3DE"/>
              <w:left w:val="single" w:sz="4" w:color="C8D3DE"/>
              <w:bottom w:val="single" w:sz="4" w:color="C8D3DE"/>
              <w:right w:val="single" w:sz="4" w:color="C8D3DE"/>
            </w:tcBorders>
          </w:tcPr>
          <w:p>
            <w:pPr>
              <w:spacing w:before="40" w:after="40"/>
            </w:pPr>
            <w:r/>
            <w:r>
              <w:rPr>
                <w:b w:val="0"/>
                <w:sz w:val="17"/>
              </w:rPr>
            </w:r>
            <w:r>
              <w:rPr>
                <w:sz w:val="17"/>
              </w:rPr>
              <w:t>Interventions, Intervention: PARADISE. The intervention is named PARADISE (Pressure-Adherence-Education Driven Service) and comprises two components: pressure-guided footwear optimisation, and the Structured Education and Behavioural Intervention Approach (SEBIA). See also Table 4 and Figure 2.</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2</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WHY</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Describe any rationale, theory, or goal of the elements essential to the intervention.</w:t>
            </w:r>
          </w:p>
        </w:tc>
        <w:tc>
          <w:tcPr>
            <w:tcW w:type="dxa" w:w="4139"/>
            <w:tcBorders>
              <w:top w:val="single" w:sz="4" w:color="C8D3DE"/>
              <w:left w:val="single" w:sz="4" w:color="C8D3DE"/>
              <w:bottom w:val="single" w:sz="4" w:color="C8D3DE"/>
              <w:right w:val="single" w:sz="4" w:color="C8D3DE"/>
            </w:tcBorders>
          </w:tcPr>
          <w:p>
            <w:pPr>
              <w:spacing w:before="40" w:after="40"/>
            </w:pPr>
            <w:r/>
            <w:r>
              <w:rPr>
                <w:b w:val="0"/>
                <w:sz w:val="17"/>
              </w:rPr>
            </w:r>
            <w:r>
              <w:rPr>
                <w:sz w:val="17"/>
              </w:rPr>
              <w:t>Introduction; Interventions, Intervention: PARADISE, Rationale. The two components target the two mechanistically distinct and sequentially dependent drivers of recurrence: insufficient offloading of plantar pressure, and insufficient wear of the footwear providing it. SEBIA is mapped explicitly onto the Capability–Opportunity–Motivation–Behaviour model, with the mapping given per step. Figure 3 sets out the logic model.</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3</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WHAT (materials)</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Materials: Describe any physical or informational materials used in the intervention, including those provided to participants or used in intervention delivery or in training of intervention providers. Provide information on where the materials can be accessed.</w:t>
            </w:r>
          </w:p>
        </w:tc>
        <w:tc>
          <w:tcPr>
            <w:tcW w:type="dxa" w:w="4139"/>
            <w:tcBorders>
              <w:top w:val="single" w:sz="4" w:color="C8D3DE"/>
              <w:left w:val="single" w:sz="4" w:color="C8D3DE"/>
              <w:bottom w:val="single" w:sz="4" w:color="C8D3DE"/>
              <w:right w:val="single" w:sz="4" w:color="C8D3DE"/>
            </w:tcBorders>
          </w:tcPr>
          <w:p>
            <w:pPr>
              <w:spacing w:before="40" w:after="40"/>
            </w:pPr>
            <w:r/>
            <w:r>
              <w:rPr>
                <w:b w:val="0"/>
                <w:sz w:val="17"/>
              </w:rPr>
            </w:r>
            <w:r>
              <w:rPr>
                <w:sz w:val="17"/>
              </w:rPr>
              <w:t>Interventions, Intervention: PARADISE. Custom-made foot orthoses manufactured to a published design protocol, with construction specified; the Novel pedar in-shoe system with novel database software and trublu calibration device; the Orthotimer temperature sensor; the MoveMonitor accelerometer; written education materials and foot-care demonstration equipment for SEBIA. Manufacturer and model are named for each device.</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4</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WHAT (procedures)</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Procedures: Describe each of the procedures, activities, and/or processes used in the intervention, including any enabling or support activities.</w:t>
            </w:r>
          </w:p>
        </w:tc>
        <w:tc>
          <w:tcPr>
            <w:tcW w:type="dxa" w:w="4139"/>
            <w:tcBorders>
              <w:top w:val="single" w:sz="4" w:color="C8D3DE"/>
              <w:left w:val="single" w:sz="4" w:color="C8D3DE"/>
              <w:bottom w:val="single" w:sz="4" w:color="C8D3DE"/>
              <w:right w:val="single" w:sz="4" w:color="C8D3DE"/>
            </w:tcBorders>
          </w:tcPr>
          <w:p>
            <w:pPr>
              <w:spacing w:before="40" w:after="40"/>
            </w:pPr>
            <w:r/>
            <w:r>
              <w:rPr>
                <w:b w:val="0"/>
                <w:sz w:val="17"/>
              </w:rPr>
            </w:r>
            <w:r>
              <w:rPr>
                <w:sz w:val="17"/>
              </w:rPr>
              <w:t>Interventions, Intervention: PARADISE. Pressure measurement protocol (walkway distance, minimum steps per foot, walking speed control, sock standardisation, eight-region mask); iterative orthosis modification under pressure feedback to a defined target; sensor integration; and the five SEBIA steps described individually. Table 4 gives the components in tabular form.</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5</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WHO PROVIDED</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For each category of intervention provider (e.g. psychologist, nursing assistant), describe their expertise, background and any specific training given.</w:t>
            </w:r>
          </w:p>
        </w:tc>
        <w:tc>
          <w:tcPr>
            <w:tcW w:type="dxa" w:w="4139"/>
            <w:tcBorders>
              <w:top w:val="single" w:sz="4" w:color="C8D3DE"/>
              <w:left w:val="single" w:sz="4" w:color="C8D3DE"/>
              <w:bottom w:val="single" w:sz="4" w:color="C8D3DE"/>
              <w:right w:val="single" w:sz="4" w:color="C8D3DE"/>
            </w:tcBorders>
          </w:tcPr>
          <w:p>
            <w:pPr>
              <w:spacing w:before="40" w:after="40"/>
            </w:pPr>
            <w:r/>
            <w:r>
              <w:rPr>
                <w:b w:val="0"/>
                <w:sz w:val="17"/>
              </w:rPr>
            </w:r>
            <w:r>
              <w:rPr>
                <w:sz w:val="17"/>
              </w:rPr>
              <w:t>Interventions, Intervention: PARADISE. SEBIA is delivered face-to-face by clinical staff of the participating diabetic foot clinics — podiatrists, nurses and physicians — standardised across sites through motivational interviewing training delivered by an expert psychologist. Orthoses are manufactured by a certified pedorthist; in-shoe pressure is measured by the clinical team, with the F-Scan GO validation sub-study performed by the study team only.</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6</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HOW</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Describe the modes of delivery (e.g. face-to-face or by some other mechanism, such as internet or telephone) of the intervention and whether it was provided individually or in a group.</w:t>
            </w:r>
          </w:p>
        </w:tc>
        <w:tc>
          <w:tcPr>
            <w:tcW w:type="dxa" w:w="4139"/>
            <w:tcBorders>
              <w:top w:val="single" w:sz="4" w:color="C8D3DE"/>
              <w:left w:val="single" w:sz="4" w:color="C8D3DE"/>
              <w:bottom w:val="single" w:sz="4" w:color="C8D3DE"/>
              <w:right w:val="single" w:sz="4" w:color="C8D3DE"/>
            </w:tcBorders>
          </w:tcPr>
          <w:p>
            <w:pPr>
              <w:spacing w:before="40" w:after="40"/>
            </w:pPr>
            <w:r/>
            <w:r>
              <w:rPr>
                <w:b w:val="0"/>
                <w:sz w:val="17"/>
              </w:rPr>
            </w:r>
            <w:r>
              <w:rPr>
                <w:sz w:val="17"/>
              </w:rPr>
              <w:t>Interventions, Intervention: PARADISE. Delivered face-to-face and individually, within the clinic during scheduled follow-up visits. No group or remote delivery component.</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7</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WHERE</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Describe the type(s) of location(s) where the intervention occurred, including any necessary infrastructure or relevant features.</w:t>
            </w:r>
          </w:p>
        </w:tc>
        <w:tc>
          <w:tcPr>
            <w:tcW w:type="dxa" w:w="4139"/>
            <w:tcBorders>
              <w:top w:val="single" w:sz="4" w:color="C8D3DE"/>
              <w:left w:val="single" w:sz="4" w:color="C8D3DE"/>
              <w:bottom w:val="single" w:sz="4" w:color="C8D3DE"/>
              <w:right w:val="single" w:sz="4" w:color="C8D3DE"/>
            </w:tcBorders>
          </w:tcPr>
          <w:p>
            <w:pPr>
              <w:spacing w:before="40" w:after="40"/>
            </w:pPr>
            <w:r/>
            <w:r>
              <w:rPr>
                <w:b w:val="0"/>
                <w:sz w:val="17"/>
              </w:rPr>
            </w:r>
            <w:r>
              <w:rPr>
                <w:sz w:val="17"/>
              </w:rPr>
              <w:t>Setting; Table 1. Six Belgian diabetic foot clinics recognised by RIZIV–INAMI, three academic and three non-academic, operating to predefined quality criteria including minimum patient volumes. Interventions are delivered within these clinics during routine visits.</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8</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WHEN and HOW MUCH</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Describe the number of times the intervention was delivered and over what period of time including the number of sessions, their schedule, and their duration, intensity or dose.</w:t>
            </w:r>
          </w:p>
        </w:tc>
        <w:tc>
          <w:tcPr>
            <w:tcW w:type="dxa" w:w="4139"/>
            <w:tcBorders>
              <w:top w:val="single" w:sz="4" w:color="C8D3DE"/>
              <w:left w:val="single" w:sz="4" w:color="C8D3DE"/>
              <w:bottom w:val="single" w:sz="4" w:color="C8D3DE"/>
              <w:right w:val="single" w:sz="4" w:color="C8D3DE"/>
            </w:tcBorders>
          </w:tcPr>
          <w:p>
            <w:pPr>
              <w:spacing w:before="40" w:after="40"/>
            </w:pPr>
            <w:r/>
            <w:r>
              <w:rPr>
                <w:b w:val="0"/>
                <w:sz w:val="17"/>
              </w:rPr>
            </w:r>
            <w:r>
              <w:rPr>
                <w:sz w:val="17"/>
              </w:rPr>
              <w:t>Interventions; Data collection and participant timeline; Table 2; Figure 2. Orthosis prescription at 1 month and delivery with sensor integration at 3 months, with replacement at 6, 12 and 18 months. SEBIA Step 1 at baseline, Step 2 at 3 months, Step 3 at 6 and 12 months, Step 4 at 9 and 15 months, Step 5 at 18 months. Total participant duration 18 months.</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9</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TAILORING</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If the intervention was planned to be personalised, titrated or adapted, then describe what, why, when, and how.</w:t>
            </w:r>
          </w:p>
        </w:tc>
        <w:tc>
          <w:tcPr>
            <w:tcW w:type="dxa" w:w="4139"/>
            <w:tcBorders>
              <w:top w:val="single" w:sz="4" w:color="C8D3DE"/>
              <w:left w:val="single" w:sz="4" w:color="C8D3DE"/>
              <w:bottom w:val="single" w:sz="4" w:color="C8D3DE"/>
              <w:right w:val="single" w:sz="4" w:color="C8D3DE"/>
            </w:tcBorders>
          </w:tcPr>
          <w:p>
            <w:pPr>
              <w:spacing w:before="40" w:after="40"/>
            </w:pPr>
            <w:r/>
            <w:r>
              <w:rPr>
                <w:b w:val="0"/>
                <w:sz w:val="17"/>
              </w:rPr>
            </w:r>
            <w:r>
              <w:rPr>
                <w:sz w:val="17"/>
              </w:rPr>
              <w:t>Interventions, Intervention: PARADISE, Tailoring and fidelity. Both components are individually tailored: the offloading target is defined against each participant’s own baseline pressure, and SEBIA content from Step 3 onward is adapted to each participant’s specific adherence barriers rather than delivered as a fixed script.</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10</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MODIFICATIONS</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If the intervention was modified during the course of the study, describe the changes (what, why, when, and how).</w:t>
            </w:r>
          </w:p>
        </w:tc>
        <w:tc>
          <w:tcPr>
            <w:tcW w:type="dxa" w:w="4139"/>
            <w:tcBorders>
              <w:top w:val="single" w:sz="4" w:color="C8D3DE"/>
              <w:left w:val="single" w:sz="4" w:color="C8D3DE"/>
              <w:bottom w:val="single" w:sz="4" w:color="C8D3DE"/>
              <w:right w:val="single" w:sz="4" w:color="C8D3DE"/>
            </w:tcBorders>
          </w:tcPr>
          <w:p>
            <w:pPr>
              <w:spacing w:before="40" w:after="40"/>
            </w:pPr>
            <w:r/>
            <w:r>
              <w:rPr>
                <w:b w:val="0"/>
                <w:sz w:val="17"/>
              </w:rPr>
            </w:r>
            <w:r>
              <w:rPr>
                <w:b/>
                <w:color w:val="5A6B7D"/>
                <w:sz w:val="17"/>
              </w:rPr>
              <w:t xml:space="preserve">N/A. </w:t>
            </w:r>
            <w:r>
              <w:rPr>
                <w:sz w:val="17"/>
              </w:rPr>
              <w:t>Not applicable to a protocol. Per the TIDieR checklist, this item cannot be described until the study is complete.</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11</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HOW WELL (planned)</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Planned: If intervention adherence or fidelity was assessed, describe how and by whom, and if any strategies were used to maintain or improve fidelity, describe them.</w:t>
            </w:r>
          </w:p>
        </w:tc>
        <w:tc>
          <w:tcPr>
            <w:tcW w:type="dxa" w:w="4139"/>
            <w:tcBorders>
              <w:top w:val="single" w:sz="4" w:color="C8D3DE"/>
              <w:left w:val="single" w:sz="4" w:color="C8D3DE"/>
              <w:bottom w:val="single" w:sz="4" w:color="C8D3DE"/>
              <w:right w:val="single" w:sz="4" w:color="C8D3DE"/>
            </w:tcBorders>
          </w:tcPr>
          <w:p>
            <w:pPr>
              <w:spacing w:before="40" w:after="40"/>
            </w:pPr>
            <w:r/>
            <w:r>
              <w:rPr>
                <w:b w:val="0"/>
                <w:sz w:val="17"/>
              </w:rPr>
            </w:r>
            <w:r>
              <w:rPr>
                <w:sz w:val="17"/>
              </w:rPr>
              <w:t>Interventions, Tailoring and fidelity; Monitoring; Process evaluation. Fidelity is supported structurally through standardised motivational interviewing training and monitored empirically through the process evaluation using structured observation, protocol-deviation logs and therapist diaries. Achieved pressure reduction is recorded for every participant and reported as a fidelity measure, so that a null clinical result can be interpreted against the offloading actually delivered.</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12</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HOW WELL (actual)</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Actual: If intervention adherence or fidelity was assessed, describe the extent to which the intervention was delivered as planned.</w:t>
            </w:r>
          </w:p>
        </w:tc>
        <w:tc>
          <w:tcPr>
            <w:tcW w:type="dxa" w:w="4139"/>
            <w:tcBorders>
              <w:top w:val="single" w:sz="4" w:color="C8D3DE"/>
              <w:left w:val="single" w:sz="4" w:color="C8D3DE"/>
              <w:bottom w:val="single" w:sz="4" w:color="C8D3DE"/>
              <w:right w:val="single" w:sz="4" w:color="C8D3DE"/>
            </w:tcBorders>
          </w:tcPr>
          <w:p>
            <w:pPr>
              <w:spacing w:before="40" w:after="40"/>
            </w:pPr>
            <w:r/>
            <w:r>
              <w:rPr>
                <w:b w:val="0"/>
                <w:sz w:val="17"/>
              </w:rPr>
            </w:r>
            <w:r>
              <w:rPr>
                <w:b/>
                <w:color w:val="5A6B7D"/>
                <w:sz w:val="17"/>
              </w:rPr>
              <w:t xml:space="preserve">N/A. </w:t>
            </w:r>
            <w:r>
              <w:rPr>
                <w:sz w:val="17"/>
              </w:rPr>
              <w:t>Not applicable to a protocol. Per the TIDieR checklist, this item cannot be described until the study is complete.</w:t>
            </w:r>
          </w:p>
        </w:tc>
      </w:tr>
    </w:tbl>
    <w:p/>
    <w:p>
      <w:pPr>
        <w:spacing w:after="80"/>
      </w:pPr>
      <w:r>
        <w:rPr>
          <w:b/>
          <w:i w:val="0"/>
          <w:color w:val="1B3A5C"/>
          <w:sz w:val="20"/>
        </w:rPr>
        <w:t>Summary of completeness</w:t>
      </w:r>
    </w:p>
    <w:p>
      <w:pPr>
        <w:spacing w:after="200"/>
      </w:pPr>
      <w:r>
        <w:rPr>
          <w:i w:val="0"/>
          <w:sz w:val="18"/>
        </w:rPr>
        <w:t>All ten items applicable to a protocol are addressed in the manuscript. Items 10 (modifications) and 12 (fidelity as actually delivered) are not applicable at protocol stage and will be completed in the results publication, for which the process evaluation has been designed to supply the necessary data.</w:t>
      </w:r>
    </w:p>
    <w:sectPr w:rsidR="00FC693F" w:rsidRPr="0006063C" w:rsidSect="00034616">
      <w:pgSz w:w="12240" w:h="15840"/>
      <w:pgMar w:top="1077" w:right="1020" w:bottom="107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