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five-year mortality following diabetes-related amputation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[3], applied within the state-of-the-art design protocol that specifies modification whenever midfoot or forefoot peak pressure exceeds 200 kPa [4]; pressure-informed therapeutic footwear is standard of care after ulceration [5].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[6]. Benefits appeared only among the 46% of participants who wore the footwear as prescribed: recurrence in that subgroup was 25.7% with improved footwear versus 47.8% with usual care (odds ratio 0.38, 95% CI 0.15–0.99, p = 0.045) [6]. Accordingly, the trial's conclusion was conditional: improved offloading does not reduce recurrence unless it is worn as recommended [6].</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[7]. The most rigorous individual trial evaluating a structured single educational session found no reduction in ulceration at either six or twelve months [8].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[9].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[10]; fewer than one-third of patients wear prescribed footwear more than 80% of the time [6,10].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[11].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[12].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[13].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[1,14].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[15],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[16].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[8].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[7].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[17].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[6], whereas adherence-monitoring approaches have mainly been evaluated in other healthcare systems, with challenges in implementation reported [15].</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[9].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[18].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[19]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[20]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[21].</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[5]: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[4].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[4] and the optimisation criteria validated in that group’s earlier work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[22]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[10]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[23];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[24],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[1,14],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[26];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[27];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[6]</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[6,10],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[10]. Anticipating an increase to 85% under PARADISE — comparable in magnitude to the improvement observed when adherence was actively targeted in prior work [28]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[6],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[12],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[29],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[30].</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[30].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[31].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[32].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[33],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[34]; and guideline-based care was cost-effective over a lifetime horizon at under US$25,000 per QALY gained [35].</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[36]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[37]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[6,8],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[18].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[6]. Patient education, delivered conventionally, has shown no protective effect at all [1,7,8]. Objective adherence monitoring has been validated as a measurement technique [15] </w:t>
      </w:r>
      <w:r w:rsidRPr="00D1417A">
        <w:rPr>
          <w:lang w:val="en-GB"/>
        </w:rPr>
        <w:t xml:space="preserve">but implemented with only moderate success where it has been tried [15]. Continuous digital pressure feedback reduced recurrence in a proof-of-concept trial, again principally among adherent users [9].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[1,14]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[12], and the strongest evidence linking it to future ulceration remains observational and twelve months long [13].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[4].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[12];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Zwaferink JB, Dahmen R, Busch-Westbroek T. State of the art design protocol for custom made footwear for people with diabetes and peripheral neuropathy. Diabetes Metab Res Rev. 2020;36(S1):e3237. doi:10.1002/dmrr.3237</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Bus SA, Waaijman R, Arts M, de Haart M, Busch-Westbroek T, van Baal J, et al. Effect of custom-made footwear on foot ulcer recurrence in diabetes: a multicenter randomized controlled trial. Diabetes Care. 2013;36(12):4109–4116. doi:10.2337/dc13-0996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van Netten JJ, van Baal JG, Bril A, Wissink M, Bus SA. An exploratory study on differences in cumulative plantar tissue stress between healing and non-healing plantar neuropathic diabetic foot ulcers. Clin Biomech. 2018;53:86–92. doi:10.1016/j.clinbiomech.2018.02.012</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Michie S, van Stralen MM, West R. The behaviour change wheel: a new method for characterising and designing behaviour change interventions. Implement Sci. 2011;6:42. doi:10.1186/1748-5908-6-42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Morbach S, Kersken J, Lobmann R, Nobels F, Doggen K, Van Acker K. The German and Belgian accreditation models for diabetic foot services. Diabetes Metab Res Rev. 2016;32(Suppl 1):318–325. doi:10.1002/dmrr.2752</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Chan A-W, Boutron I, Hopewell S, Moher D, Schulz KF, Collins GS, et al. SPIRIT 2025 statement: updated guideline for protocols of randomised trials. BMJ. 2025;389:e081477. doi:10.1136/bmj-2024-081477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Loudon K, Treweek S, Sullivan F, Donnan PT, Thorpe KE, Zwarenstein M. The PRECIS-2 tool: designing trials that are fit for purpose. BMJ. 2015;350:h2147. doi:10.1136/bmj.h2147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Hopewell S, Chan A-W, Collins GS, Hróbjartsson A, Moher D, Schulz KF, et al. CONSORT 2025 statement: updated guideline for reporting randomised trials. BMJ. 2025;389:e081123. doi:10.1136/bmj-2024-081123</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Lincoln NB, Jeffcoate WJ, Ince P, Smith M, Radford KA. Validation of a new measure of protective footcare behaviour: the Nottingham Assessment of Functional Footcare (NAFF). Practical Diabetes International. 2007;24(4):207–211. doi:10.1002/pdi.1099</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Zwaferink JBJ, Nollet F, Bus SA. In-shoe pressure measurements in diabetic footwear practice: success rate and facilitators of and barriers to implementation. Sensors. 2024;24(6):1795. doi:10.3390/s24061795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Husereau D, Drummond M, Petrou S, Carswell C, Moher D, Greenberg D, et al. Consolidated Health Economic Evaluation Reporting Standards (CHEERS) statement. Pharmacoeconomics. 2013;31(5):361–367. doi:10.1007/s40273-013-0032-y</w:t>
      </w:r>
    </w:p>
    <w:p ns2:paraId="11F664E0" ns2:textId="77777777" w:rsidR="00D47670" w:rsidRDefault="00A02229">
      <w:pPr>
        <w:spacing w:after="100"/>
        <w:ind w:left="454" w:hanging="454"/>
      </w:pPr>
      <w:r w:rsidRPr="00D1417A">
        <w:rPr>
          <w:sz w:val="20"/>
          <w:szCs w:val="20"/>
          <w:lang w:val="en-GB"/>
        </w:rPr>
        <w:t xml:space="preserve">32. Hakkaart-van Roijen L, Peeters S, Kanters T. Kostenhandleiding voor economische evaluaties in de gezondheidszorg: methodologie en referentieprijzen. Diemen: Zorginstituut Nederland; 2024.</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Prompers L, Huijberts M, Schaper N, Apelqvist J, Bakker K, Edmonds M, et al. Resource utilisation and costs associated with the treatment of diabetic foot ulcers. Prospective data from the Eurodiale Study. Diabetologia. 2008;51(10):1826–1834. doi:10.1007/s00125-008-1089-6</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Ragnarson Tennvall G, Apelqvist J. Prevention of diabetes-related foot ulcers and amputations: a cost-utility analysis based on Markov model simulations. Diabetologia. 2001;44(11):2077–2087. doi:10.1007/s001250100013</w:t>
      </w:r>
    </w:p>
    <w:p ns2:paraId="11F664E3" ns2:textId="77777777" w:rsidR="00D47670" w:rsidRPr="00D1417A" w:rsidRDefault="00A02229">
      <w:pPr>
        <w:rPr>
          <w:lang w:val="en-GB"/>
        </w:rPr>
      </w:pPr>
      <w:r w:rsidRPr="00D1417A">
        <w:rPr>
          <w:sz w:val="20"/>
          <w:lang w:val="en-GB"/>
        </w:rPr>
        <w:t xml:space="preserve">35. Ortegon MM, Redekop WK, Niessen LW. Cost-effectiveness of prevention and treatment of the diabetic foot: a Markov analysis. Diabetes Care. 2004;27(4):901–907. doi:10.2337/diacare.27.4.901</w:t>
      </w:r>
    </w:p>
    <w:p ns2:paraId="11F664E4" ns2:textId="7685600F" w:rsidR="00D47670" w:rsidRPr="00D1417A" w:rsidRDefault="00A02229">
      <w:pPr>
        <w:rPr>
          <w:lang w:val="en-GB"/>
        </w:rPr>
      </w:pPr>
      <w:r w:rsidRPr="00D1417A">
        <w:rPr>
          <w:sz w:val="20"/>
          <w:lang w:val="en-GB"/>
        </w:rPr>
        <w:t xml:space="preserve">36.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 xml:space="preserve">37.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