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eCRF Document 01: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Risicovoet (categorie 3) met een recent genezen plantair voetulcus, of een partiële voetamputatie (één of meerdere tenen, inclusief de hallux), of resectie van één of meerdere metatarsaalkoppen — de eerste inbegrepen — in de afgelopen 18 maanden tot 2 weken vóór inclusie.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Stabiele vaatstatus naar klinisch oordeel van de behandelende artsen.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Vaatstatus PEDIS graad 3, kritische ischemie: enkelsystoledruk &lt; 50 mmHg, of teensystoledruk &lt; 30 mmHg, of TcpO₂ &lt; 30 mmHg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Nierfunctievervangende therapie (dialyse) ondergaan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Immunosuppressieve therapie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