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D8DB0"/>
          <w:sz w:val="16"/>
        </w:rPr>
        <w:t>PARADISE  ·  WERKPAKKET 3</w:t>
      </w:r>
    </w:p>
    <w:p>
      <w:pPr>
        <w:spacing w:after="40"/>
      </w:pPr>
      <w:r>
        <w:rPr>
          <w:b/>
          <w:color w:val="00407A"/>
          <w:sz w:val="38"/>
        </w:rPr>
        <w:t>Gezondheidseconomie — overleg Koen Putman</w:t>
      </w:r>
    </w:p>
    <w:p>
      <w:pPr>
        <w:spacing w:after="160"/>
      </w:pPr>
      <w:r>
        <w:rPr>
          <w:b w:val="0"/>
          <w:color w:val="5A6A78"/>
          <w:sz w:val="18"/>
        </w:rPr>
        <w:t>24 september 2026  ·  werkdocument</w:t>
      </w:r>
    </w:p>
    <w:p>
      <w:pPr>
        <w:spacing w:after="120"/>
      </w:pPr>
      <w:r>
        <w:rPr>
          <w:b w:val="0"/>
          <w:color w:val="1B2630"/>
          <w:sz w:val="19"/>
        </w:rPr>
        <w:t>Het manuscript legt de opzet van de economische evaluatie al vrij volledig vast. Wat ontbreekt is niet de opzet maar de uitvoering: de parameters die je nodig hebt om te rékenen, en de regels die bepalen welke bron wint als twee bronnen hetzelfde meten. Dit document zet naast elkaar wat vastligt, wat het manuscript vaag laat, en welke zes vragen beslist moeten worden.</w:t>
      </w:r>
    </w:p>
    <w:p>
      <w:pPr>
        <w:spacing w:after="40"/>
      </w:pPr>
      <w:r>
        <w:rPr>
          <w:b w:val="0"/>
          <w:color w:val="5A6A78"/>
          <w:sz w:val="16"/>
        </w:rPr>
        <w:t>De KCE-richtlijn is nagekeken in de derde editie van mei 2025 (rapport 400), niet in de tweede editie van 2012 die meestal geciteerd wordt.</w:t>
      </w:r>
    </w:p>
    <w:p>
      <w:pPr>
        <w:spacing w:before="300" w:after="100"/>
      </w:pPr>
      <w:r>
        <w:rPr>
          <w:b/>
          <w:color w:val="FF7A00"/>
          <w:sz w:val="22"/>
        </w:rPr>
        <w:t>1  Wat vastligt — niet heropenen</w:t>
      </w:r>
    </w:p>
    <w:p>
      <w:pPr>
        <w:spacing w:after="100"/>
      </w:pPr>
      <w:r>
        <w:rPr>
          <w:b w:val="0"/>
          <w:color w:val="5A6A78"/>
          <w:sz w:val="17"/>
        </w:rPr>
        <w:t>Staat zo in het manuscript. Hier alleen zodat het overleg er geen tijd aan besteedt.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2494"/>
            <w:shd w:val="clear" w:fill="1D8DB0"/>
          </w:tcPr>
          <w:p>
            <w:pPr>
              <w:spacing w:before="40" w:after="40"/>
            </w:pPr>
            <w:r>
              <w:rPr>
                <w:b/>
                <w:color w:val="FFFFFF"/>
                <w:sz w:val="16"/>
              </w:rPr>
              <w:t>ONDERDEEL</w:t>
            </w:r>
          </w:p>
        </w:tc>
        <w:tc>
          <w:tcPr>
            <w:tcW w:type="dxa" w:w="7370"/>
            <w:shd w:val="clear" w:fill="1D8DB0"/>
          </w:tcPr>
          <w:p>
            <w:pPr>
              <w:spacing w:before="40" w:after="40"/>
            </w:pPr>
            <w:r>
              <w:rPr>
                <w:b/>
                <w:color w:val="FFFFFF"/>
                <w:sz w:val="16"/>
              </w:rPr>
              <w:t>ZOALS HET VASTLIGT</w:t>
            </w:r>
          </w:p>
        </w:tc>
      </w:tr>
      <w:tr>
        <w:tc>
          <w:tcPr>
            <w:tcW w:type="dxa" w:w="2494"/>
          </w:tcPr>
          <w:p>
            <w:pPr>
              <w:spacing w:before="40" w:after="40"/>
            </w:pPr>
            <w:r>
              <w:rPr>
                <w:color w:val="1B2630"/>
                <w:sz w:val="17"/>
              </w:rPr>
              <w:t>Analysetype</w:t>
            </w:r>
          </w:p>
        </w:tc>
        <w:tc>
          <w:tcPr>
            <w:tcW w:type="dxa" w:w="7370"/>
          </w:tcPr>
          <w:p>
            <w:pPr>
              <w:spacing w:before="40" w:after="40"/>
            </w:pPr>
            <w:r>
              <w:rPr>
                <w:color w:val="1B2630"/>
                <w:sz w:val="17"/>
              </w:rPr>
              <w:t>Kosteneffectiviteit én kostenutiliteit over de 18-maandenhorizon van de trial.</w:t>
            </w:r>
          </w:p>
        </w:tc>
      </w:tr>
      <w:tr>
        <w:tc>
          <w:tcPr>
            <w:tcW w:type="dxa" w:w="2494"/>
          </w:tcPr>
          <w:p>
            <w:pPr>
              <w:spacing w:before="40" w:after="40"/>
            </w:pPr>
            <w:r>
              <w:rPr>
                <w:color w:val="1B2630"/>
                <w:sz w:val="17"/>
              </w:rPr>
              <w:t>Perspectief</w:t>
            </w:r>
          </w:p>
        </w:tc>
        <w:tc>
          <w:tcPr>
            <w:tcW w:type="dxa" w:w="7370"/>
          </w:tcPr>
          <w:p>
            <w:pPr>
              <w:spacing w:before="40" w:after="40"/>
            </w:pPr>
            <w:r>
              <w:rPr>
                <w:color w:val="1B2630"/>
                <w:sz w:val="17"/>
              </w:rPr>
              <w:t>Betaler in de referentieanalyse, maatschappelijk in de gevoeligheidsanalyse.</w:t>
            </w:r>
          </w:p>
        </w:tc>
      </w:tr>
      <w:tr>
        <w:tc>
          <w:tcPr>
            <w:tcW w:type="dxa" w:w="2494"/>
          </w:tcPr>
          <w:p>
            <w:pPr>
              <w:spacing w:before="40" w:after="40"/>
            </w:pPr>
            <w:r>
              <w:rPr>
                <w:color w:val="1B2630"/>
                <w:sz w:val="17"/>
              </w:rPr>
              <w:t>Primair economisch eindpunt</w:t>
            </w:r>
          </w:p>
        </w:tc>
        <w:tc>
          <w:tcPr>
            <w:tcW w:type="dxa" w:w="7370"/>
          </w:tcPr>
          <w:p>
            <w:pPr>
              <w:spacing w:before="40" w:after="40"/>
            </w:pPr>
            <w:r>
              <w:rPr>
                <w:color w:val="1B2630"/>
                <w:sz w:val="17"/>
              </w:rPr>
              <w:t>De ICUR.</w:t>
            </w:r>
          </w:p>
        </w:tc>
      </w:tr>
      <w:tr>
        <w:tc>
          <w:tcPr>
            <w:tcW w:type="dxa" w:w="2494"/>
          </w:tcPr>
          <w:p>
            <w:pPr>
              <w:spacing w:before="40" w:after="40"/>
            </w:pPr>
            <w:r>
              <w:rPr>
                <w:color w:val="1B2630"/>
                <w:sz w:val="17"/>
              </w:rPr>
              <w:t>Waardeset</w:t>
            </w:r>
          </w:p>
        </w:tc>
        <w:tc>
          <w:tcPr>
            <w:tcW w:type="dxa" w:w="7370"/>
          </w:tcPr>
          <w:p>
            <w:pPr>
              <w:spacing w:before="40" w:after="40"/>
            </w:pPr>
            <w:r>
              <w:rPr>
                <w:color w:val="1B2630"/>
                <w:sz w:val="17"/>
              </w:rPr>
              <w:t>De Belgische. Bouckaert e.a. 2022 staat al in de referentielijst.</w:t>
            </w:r>
          </w:p>
        </w:tc>
      </w:tr>
      <w:tr>
        <w:tc>
          <w:tcPr>
            <w:tcW w:type="dxa" w:w="2494"/>
          </w:tcPr>
          <w:p>
            <w:pPr>
              <w:spacing w:before="40" w:after="40"/>
            </w:pPr>
            <w:r>
              <w:rPr>
                <w:color w:val="1B2630"/>
                <w:sz w:val="17"/>
              </w:rPr>
              <w:t>Rapportering</w:t>
            </w:r>
          </w:p>
        </w:tc>
        <w:tc>
          <w:tcPr>
            <w:tcW w:type="dxa" w:w="7370"/>
          </w:tcPr>
          <w:p>
            <w:pPr>
              <w:spacing w:before="40" w:after="40"/>
            </w:pPr>
            <w:r>
              <w:rPr>
                <w:color w:val="1B2630"/>
                <w:sz w:val="17"/>
              </w:rPr>
              <w:t>CHEERS.</w:t>
            </w:r>
          </w:p>
        </w:tc>
      </w:tr>
      <w:tr>
        <w:tc>
          <w:tcPr>
            <w:tcW w:type="dxa" w:w="2494"/>
          </w:tcPr>
          <w:p>
            <w:pPr>
              <w:spacing w:before="40" w:after="40"/>
            </w:pPr>
            <w:r>
              <w:rPr>
                <w:color w:val="1B2630"/>
                <w:sz w:val="17"/>
              </w:rPr>
              <w:t>Onzekerheid</w:t>
            </w:r>
          </w:p>
        </w:tc>
        <w:tc>
          <w:tcPr>
            <w:tcW w:type="dxa" w:w="7370"/>
          </w:tcPr>
          <w:p>
            <w:pPr>
              <w:spacing w:before="40" w:after="40"/>
            </w:pPr>
            <w:r>
              <w:rPr>
                <w:color w:val="1B2630"/>
                <w:sz w:val="17"/>
              </w:rPr>
              <w:t>Deterministisch én probabilistisch, Monte Carlo met 10 000 iteraties, met kosteneffectiviteitsvlak en CEAC.</w:t>
            </w:r>
          </w:p>
        </w:tc>
      </w:tr>
      <w:tr>
        <w:tc>
          <w:tcPr>
            <w:tcW w:type="dxa" w:w="2494"/>
          </w:tcPr>
          <w:p>
            <w:pPr>
              <w:spacing w:before="40" w:after="40"/>
            </w:pPr>
            <w:r>
              <w:rPr>
                <w:color w:val="1B2630"/>
                <w:sz w:val="17"/>
              </w:rPr>
              <w:t>Extrapolatie</w:t>
            </w:r>
          </w:p>
        </w:tc>
        <w:tc>
          <w:tcPr>
            <w:tcW w:type="dxa" w:w="7370"/>
          </w:tcPr>
          <w:p>
            <w:pPr>
              <w:spacing w:before="40" w:after="40"/>
            </w:pPr>
            <w:r>
              <w:rPr>
                <w:color w:val="1B2630"/>
                <w:sz w:val="17"/>
              </w:rPr>
              <w:t>Markov naar vijf jaar, zes toestanden: ulcusvrij, actief ulcus, genezen, kleine amputatie, grote amputatie, overlijden.</w:t>
            </w:r>
          </w:p>
        </w:tc>
      </w:tr>
      <w:tr>
        <w:tc>
          <w:tcPr>
            <w:tcW w:type="dxa" w:w="2494"/>
          </w:tcPr>
          <w:p>
            <w:pPr>
              <w:spacing w:before="40" w:after="40"/>
            </w:pPr>
            <w:r>
              <w:rPr>
                <w:color w:val="1B2630"/>
                <w:sz w:val="17"/>
              </w:rPr>
              <w:t>Kostenverzameling</w:t>
            </w:r>
          </w:p>
        </w:tc>
        <w:tc>
          <w:tcPr>
            <w:tcW w:type="dxa" w:w="7370"/>
          </w:tcPr>
          <w:p>
            <w:pPr>
              <w:spacing w:before="40" w:after="40"/>
            </w:pPr>
            <w:r>
              <w:rPr>
                <w:color w:val="1B2630"/>
                <w:sz w:val="17"/>
              </w:rPr>
              <w:t>Prospectief via dagboek, iMCQ en iPCQ, aangevuld met dossierextractie. Ulcuskosten geobserveerd, niet geïmputeerd; Eurodiale alleen voor sensitiviteit.</w:t>
            </w:r>
          </w:p>
        </w:tc>
      </w:tr>
      <w:tr>
        <w:tc>
          <w:tcPr>
            <w:tcW w:type="dxa" w:w="2494"/>
          </w:tcPr>
          <w:p>
            <w:pPr>
              <w:spacing w:before="40" w:after="40"/>
            </w:pPr>
            <w:r>
              <w:rPr>
                <w:color w:val="1B2630"/>
                <w:sz w:val="17"/>
              </w:rPr>
              <w:t>Dubbele rapportering</w:t>
            </w:r>
          </w:p>
        </w:tc>
        <w:tc>
          <w:tcPr>
            <w:tcW w:type="dxa" w:w="7370"/>
          </w:tcPr>
          <w:p>
            <w:pPr>
              <w:spacing w:before="40" w:after="40"/>
            </w:pPr>
            <w:r>
              <w:rPr>
                <w:color w:val="1B2630"/>
                <w:sz w:val="17"/>
              </w:rPr>
              <w:t>Kost per vermeden ulcus én kost per QALY naast elkaar — bewust, omdat die twee bij DIATEMP uiteenliepen.</w:t>
            </w:r>
          </w:p>
        </w:tc>
      </w:tr>
      <w:tr>
        <w:tc>
          <w:tcPr>
            <w:tcW w:type="dxa" w:w="2494"/>
          </w:tcPr>
          <w:p>
            <w:pPr>
              <w:spacing w:before="40" w:after="40"/>
            </w:pPr>
            <w:r>
              <w:rPr>
                <w:color w:val="1B2630"/>
                <w:sz w:val="17"/>
              </w:rPr>
              <w:t>Beslissingskader</w:t>
            </w:r>
          </w:p>
        </w:tc>
        <w:tc>
          <w:tcPr>
            <w:tcW w:type="dxa" w:w="7370"/>
          </w:tcPr>
          <w:p>
            <w:pPr>
              <w:spacing w:before="40" w:after="40"/>
            </w:pPr>
            <w:r>
              <w:rPr>
                <w:color w:val="1B2630"/>
                <w:sz w:val="17"/>
              </w:rPr>
              <w:t>Een terugbetalingsbeslissing. Schoeisel is in België terugbetaald, de drukmeting en de tijd om ernaar te handelen niet.</w:t>
            </w:r>
          </w:p>
        </w:tc>
      </w:tr>
    </w:tbl>
    <w:p>
      <w:pPr>
        <w:spacing w:before="300" w:after="100"/>
      </w:pPr>
      <w:r>
        <w:rPr>
          <w:b/>
          <w:color w:val="FF7A00"/>
          <w:sz w:val="22"/>
        </w:rPr>
        <w:t>2  Zes vragen</w:t>
      </w:r>
    </w:p>
    <w:p>
      <w:pPr>
        <w:spacing w:after="100"/>
      </w:pPr>
      <w:r>
        <w:rPr>
          <w:b w:val="0"/>
          <w:color w:val="5A6A78"/>
          <w:sz w:val="17"/>
        </w:rPr>
        <w:t>De eerste drie raken de eCRF’s en moeten dus vóór de versie-lock beslist zijn. De laatste drie horen in het analyseplan van oktober.</w:t>
      </w:r>
    </w:p>
    <w:p>
      <w:pPr>
        <w:spacing w:after="100"/>
        <w:ind w:left="425" w:hanging="425"/>
      </w:pPr>
      <w:r>
        <w:rPr>
          <w:b/>
          <w:color w:val="FF7A00"/>
          <w:sz w:val="18"/>
        </w:rPr>
        <w:t xml:space="preserve">1.  </w:t>
      </w:r>
      <w:r>
        <w:rPr>
          <w:b/>
          <w:color w:val="1B2630"/>
          <w:sz w:val="18"/>
        </w:rPr>
        <w:t xml:space="preserve">Drie bronnen meten dezelfde kost. Welke wint?  </w:t>
      </w:r>
      <w:r>
        <w:rPr>
          <w:b w:val="0"/>
          <w:color w:val="5A6A78"/>
          <w:sz w:val="18"/>
        </w:rPr>
        <w:t>Het dagboek 45b, de iMCQ én de dossierextractie registreren alle drie zorggebruik, en het dagboek en de iMCQ staan op exact dezelfde bezoeken, visite 3 tot 8. Zonder een vooraf vastgelegde hiërarchie is de kostenberekening niet reproduceerbaar en kan een reviewer ze niet narekenen. Tweede laag daarbij: het dagboek vraagt ook het bedrag in euro, met het remgeld als totaal min mutualiteit. Waarderen we het zorggebruik met RIZIV-tarieven, of gebruiken we de bedragen die de patiënt opschrijft, of beide voor verschillende posten?</w:t>
      </w:r>
    </w:p>
    <w:p>
      <w:pPr>
        <w:spacing w:after="100"/>
        <w:ind w:left="425" w:hanging="425"/>
      </w:pPr>
      <w:r>
        <w:rPr>
          <w:b/>
          <w:color w:val="FF7A00"/>
          <w:sz w:val="18"/>
        </w:rPr>
        <w:t xml:space="preserve">2.  </w:t>
      </w:r>
      <w:r>
        <w:rPr>
          <w:b/>
          <w:color w:val="1B2630"/>
          <w:sz w:val="18"/>
        </w:rPr>
        <w:t xml:space="preserve">Passen we de iMCQ aan voor België?  </w:t>
      </w:r>
      <w:r>
        <w:rPr>
          <w:b w:val="0"/>
          <w:color w:val="5A6A78"/>
          <w:sz w:val="18"/>
        </w:rPr>
        <w:t>Er bestaat geen Vlaamse of Belgische versie — de iPCQ heeft achttien talen, de iMCQ zes, geen enkele Belgisch. iMTA staat toe dat je zelf aanpast, maar houdt de rechten op die aanpassing en wil een kopie. Het dagboek is al volledig Belgisch (huisarts, diabetoloog, kinesist, thuisverpleegkundige, poetshulp), terwijl de iMCQ nog naar de bedrijfsarts vraagt. Aanpassen maakt de twee consistent maar verkleint de vergelijkbaarheid met Nederlandse studies. Jouw keuze bepaalt wat ik aan iMTA vraag.</w:t>
      </w:r>
    </w:p>
    <w:p>
      <w:pPr>
        <w:spacing w:after="100"/>
        <w:ind w:left="425" w:hanging="425"/>
      </w:pPr>
      <w:r>
        <w:rPr>
          <w:b/>
          <w:color w:val="FF7A00"/>
          <w:sz w:val="18"/>
        </w:rPr>
        <w:t xml:space="preserve">3.  </w:t>
      </w:r>
      <w:r>
        <w:rPr>
          <w:b/>
          <w:color w:val="1B2630"/>
          <w:sz w:val="18"/>
        </w:rPr>
        <w:t xml:space="preserve">Hoort de iMCQ ook op baseline?  </w:t>
      </w:r>
      <w:r>
        <w:rPr>
          <w:b w:val="0"/>
          <w:color w:val="5A6A78"/>
          <w:sz w:val="18"/>
        </w:rPr>
        <w:t>Nu start de iMCQ pas op maand 3; alleen dagboek 45 staat op visite 1. Zonder zorggebruik bij aanvang kunnen we niet corrigeren voor een onevenwicht tussen de armen bij de start — het equivalent van de baselinecorrectie die we voor de utiliteit wél doen. Dit toevoegen kan nu nog; na de versie-lock is het een amendement.</w:t>
      </w:r>
    </w:p>
    <w:p>
      <w:pPr>
        <w:spacing w:after="100"/>
        <w:ind w:left="425" w:hanging="425"/>
      </w:pPr>
      <w:r>
        <w:rPr>
          <w:b/>
          <w:color w:val="FF7A00"/>
          <w:sz w:val="18"/>
        </w:rPr>
        <w:t xml:space="preserve">4.  </w:t>
      </w:r>
      <w:r>
        <w:rPr>
          <w:b/>
          <w:color w:val="1B2630"/>
          <w:sz w:val="18"/>
        </w:rPr>
        <w:t xml:space="preserve">Wat doen we met het ontbreken van een drempelwaarde?  </w:t>
      </w:r>
      <w:r>
        <w:rPr>
          <w:b w:val="0"/>
          <w:color w:val="5A6A78"/>
          <w:sz w:val="18"/>
        </w:rPr>
        <w:t>KCE 400 is uitdrukkelijk: België gebruikt geen expliciete drempel, en drempels uit andere landen mag je niet overnemen, niet aan België aanpassen en niet indexeren. Ons manuscript noemt €50 000 per QALY, maar als beschrijving van wat DIATEMP rapporteerde — dat is legitiem. De vraag is wat wíj straks rapporteren: alleen de volledige CEAC zonder drempel, of met een referentiepunt en de waarschuwing erbij?</w:t>
      </w:r>
    </w:p>
    <w:p>
      <w:pPr>
        <w:spacing w:after="100"/>
        <w:ind w:left="425" w:hanging="425"/>
      </w:pPr>
      <w:r>
        <w:rPr>
          <w:b/>
          <w:color w:val="FF7A00"/>
          <w:sz w:val="18"/>
        </w:rPr>
        <w:t xml:space="preserve">5.  </w:t>
      </w:r>
      <w:r>
        <w:rPr>
          <w:b/>
          <w:color w:val="1B2630"/>
          <w:sz w:val="18"/>
        </w:rPr>
        <w:t xml:space="preserve">Verwachten we een effect op productiviteit?  </w:t>
      </w:r>
      <w:r>
        <w:rPr>
          <w:b w:val="0"/>
          <w:color w:val="5A6A78"/>
          <w:sz w:val="18"/>
        </w:rPr>
        <w:t>KCE zet productiviteitskosten buiten de referentieanalyse, en in de complementaire analyse moet je met harde data aantonen dat de interventie er effect op heeft. Onze populatie is hoogrisico diabetische voet; een groot deel is vermoedelijk niet in betaald werk. Hoeveel van de 144 verwachten we wel? Is dat laag, dan draagt de iPCQ vooral via de module onbetaald werk en is de vraag of we alle drie de modules aanhouden.</w:t>
      </w:r>
    </w:p>
    <w:p>
      <w:pPr>
        <w:spacing w:after="100"/>
        <w:ind w:left="425" w:hanging="425"/>
      </w:pPr>
      <w:r>
        <w:rPr>
          <w:b/>
          <w:color w:val="FF7A00"/>
          <w:sz w:val="18"/>
        </w:rPr>
        <w:t xml:space="preserve">6.  </w:t>
      </w:r>
      <w:r>
        <w:rPr>
          <w:b/>
          <w:color w:val="1B2630"/>
          <w:sz w:val="18"/>
        </w:rPr>
        <w:t xml:space="preserve">Wie bouwt het model, en wanneer begint dat?  </w:t>
      </w:r>
      <w:r>
        <w:rPr>
          <w:b w:val="0"/>
          <w:color w:val="5A6A78"/>
          <w:sz w:val="18"/>
        </w:rPr>
        <w:t>MS7 en MS8 vallen op maand 42, maar het Markov-model vraagt keuzes die nu al vastliggen in wat we méten: cyclusduur, utiliteiten per toestand met hun bron, en welke transitiekansen uit de trial komen en welke uit de literatuur. Wie bouwt het, in welke software, en wie doet de trial-based analyse?</w:t>
      </w:r>
    </w:p>
    <w:p>
      <w:pPr>
        <w:spacing w:before="300" w:after="100"/>
      </w:pPr>
      <w:r>
        <w:rPr>
          <w:b/>
          <w:color w:val="FF7A00"/>
          <w:sz w:val="22"/>
        </w:rPr>
        <w:t>3  Wat het manuscript vaag laat, en wat KCE 400 erover zegt</w:t>
      </w:r>
    </w:p>
    <w:p>
      <w:pPr>
        <w:spacing w:after="100"/>
      </w:pPr>
      <w:r>
        <w:rPr>
          <w:b w:val="0"/>
          <w:color w:val="5A6A78"/>
          <w:sz w:val="17"/>
        </w:rPr>
        <w:t>Zeven plaatsen. Bij elk staat al wat de richtlijn vraagt, zodat het overleg alleen nog moet bevestigen.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3515"/>
            <w:shd w:val="clear" w:fill="1D8DB0"/>
          </w:tcPr>
          <w:p>
            <w:pPr>
              <w:spacing w:before="40" w:after="40"/>
            </w:pPr>
            <w:r>
              <w:rPr>
                <w:b/>
                <w:color w:val="FFFFFF"/>
                <w:sz w:val="16"/>
              </w:rPr>
              <w:t>WAT ER NU STAAT</w:t>
            </w:r>
          </w:p>
        </w:tc>
        <w:tc>
          <w:tcPr>
            <w:tcW w:type="dxa" w:w="6350"/>
            <w:shd w:val="clear" w:fill="1D8DB0"/>
          </w:tcPr>
          <w:p>
            <w:pPr>
              <w:spacing w:before="40" w:after="40"/>
            </w:pPr>
            <w:r>
              <w:rPr>
                <w:b/>
                <w:color w:val="FFFFFF"/>
                <w:sz w:val="16"/>
              </w:rPr>
              <w:t>WAT DE RICHTLIJN VRAAGT</w:t>
            </w:r>
          </w:p>
        </w:tc>
      </w:tr>
      <w:tr>
        <w:tc>
          <w:tcPr>
            <w:tcW w:type="dxa" w:w="3515"/>
          </w:tcPr>
          <w:p>
            <w:pPr>
              <w:spacing w:before="40" w:after="40"/>
            </w:pPr>
            <w:r>
              <w:rPr>
                <w:color w:val="1B2630"/>
                <w:sz w:val="17"/>
              </w:rPr>
              <w:t>“discounted at rates specified in the Belgian HTA guidance” — zonder getallen</w:t>
            </w:r>
          </w:p>
        </w:tc>
        <w:tc>
          <w:tcPr>
            <w:tcW w:type="dxa" w:w="6350"/>
          </w:tcPr>
          <w:p>
            <w:pPr>
              <w:spacing w:before="40" w:after="40"/>
            </w:pPr>
            <w:r>
              <w:rPr>
                <w:color w:val="1B2630"/>
                <w:sz w:val="17"/>
              </w:rPr>
              <w:t>3% voor kosten, 1,5% voor effecten in de referentieanalyse. Plus — en dit staat nu niet in het manuscript — verplichte scenario’s met een gelijke voet van 0%, 3% en 5% voor kosten én effecten.</w:t>
            </w:r>
          </w:p>
        </w:tc>
      </w:tr>
      <w:tr>
        <w:tc>
          <w:tcPr>
            <w:tcW w:type="dxa" w:w="3515"/>
          </w:tcPr>
          <w:p>
            <w:pPr>
              <w:spacing w:before="40" w:after="40"/>
            </w:pPr>
            <w:r>
              <w:rPr>
                <w:color w:val="1B2630"/>
                <w:sz w:val="17"/>
              </w:rPr>
              <w:t>“valued using standard reference prices”</w:t>
            </w:r>
          </w:p>
        </w:tc>
        <w:tc>
          <w:tcPr>
            <w:tcW w:type="dxa" w:w="6350"/>
          </w:tcPr>
          <w:p>
            <w:pPr>
              <w:spacing w:before="40" w:after="40"/>
            </w:pPr>
            <w:r>
              <w:rPr>
                <w:color w:val="1B2630"/>
                <w:sz w:val="17"/>
              </w:rPr>
              <w:t>Gevalideerde bronnen voor de eenheidsprijzen, expliciet benoemd. CHEERS vraagt daarnaast de valuta en het prijsjaar. Beide ontbreken nu.</w:t>
            </w:r>
          </w:p>
        </w:tc>
      </w:tr>
      <w:tr>
        <w:tc>
          <w:tcPr>
            <w:tcW w:type="dxa" w:w="3515"/>
          </w:tcPr>
          <w:p>
            <w:pPr>
              <w:spacing w:before="40" w:after="40"/>
            </w:pPr>
            <w:r>
              <w:rPr>
                <w:color w:val="1B2630"/>
                <w:sz w:val="17"/>
              </w:rPr>
              <w:t>“where no national value set applies…”</w:t>
            </w:r>
          </w:p>
        </w:tc>
        <w:tc>
          <w:tcPr>
            <w:tcW w:type="dxa" w:w="6350"/>
          </w:tcPr>
          <w:p>
            <w:pPr>
              <w:spacing w:before="40" w:after="40"/>
            </w:pPr>
            <w:r>
              <w:rPr>
                <w:color w:val="1B2630"/>
                <w:sz w:val="17"/>
              </w:rPr>
              <w:t>Die uitwijkclausule is achterhaald: er ís een Belgische EQ-5D-5L-waardeset. KCE vraagt de meest recente indexwaardeset. Schrap de clausule en noem Bouckaert e.a. 2022 rechtstreeks.</w:t>
            </w:r>
          </w:p>
        </w:tc>
      </w:tr>
      <w:tr>
        <w:tc>
          <w:tcPr>
            <w:tcW w:type="dxa" w:w="3515"/>
          </w:tcPr>
          <w:p>
            <w:pPr>
              <w:spacing w:before="40" w:after="40"/>
            </w:pPr>
            <w:r>
              <w:rPr>
                <w:color w:val="1B2630"/>
                <w:sz w:val="17"/>
              </w:rPr>
              <w:t>Markov met zes toestanden benoemd</w:t>
            </w:r>
          </w:p>
        </w:tc>
        <w:tc>
          <w:tcPr>
            <w:tcW w:type="dxa" w:w="6350"/>
          </w:tcPr>
          <w:p>
            <w:pPr>
              <w:spacing w:before="40" w:after="40"/>
            </w:pPr>
            <w:r>
              <w:rPr>
                <w:color w:val="1B2630"/>
                <w:sz w:val="17"/>
              </w:rPr>
              <w:t>Cyclusduur staat er niet, half-cycle correctie ook niet — die wordt aanbevolen. Utiliteiten per toestand moeten met hun bron vermeld worden.</w:t>
            </w:r>
          </w:p>
        </w:tc>
      </w:tr>
      <w:tr>
        <w:tc>
          <w:tcPr>
            <w:tcW w:type="dxa" w:w="3515"/>
          </w:tcPr>
          <w:p>
            <w:pPr>
              <w:spacing w:before="40" w:after="40"/>
            </w:pPr>
            <w:r>
              <w:rPr>
                <w:color w:val="1B2630"/>
                <w:sz w:val="17"/>
              </w:rPr>
              <w:t>Horizon van vijf jaar</w:t>
            </w:r>
          </w:p>
        </w:tc>
        <w:tc>
          <w:tcPr>
            <w:tcW w:type="dxa" w:w="6350"/>
          </w:tcPr>
          <w:p>
            <w:pPr>
              <w:spacing w:before="40" w:after="40"/>
            </w:pPr>
            <w:r>
              <w:rPr>
                <w:color w:val="1B2630"/>
                <w:sz w:val="17"/>
              </w:rPr>
              <w:t>De horizon moet aansluiten bij de periode waarin de verschillen verwacht worden, en bij een gemodelleerde horizon moeten kórtere horizonnen als scenario gepresenteerd worden. Argumenteer dus waarom vijf jaar en niet levenslang.</w:t>
            </w:r>
          </w:p>
        </w:tc>
      </w:tr>
      <w:tr>
        <w:tc>
          <w:tcPr>
            <w:tcW w:type="dxa" w:w="3515"/>
          </w:tcPr>
          <w:p>
            <w:pPr>
              <w:spacing w:before="40" w:after="40"/>
            </w:pPr>
            <w:r>
              <w:rPr>
                <w:color w:val="1B2630"/>
                <w:sz w:val="17"/>
              </w:rPr>
              <w:t>“societal perspective in the sensitivity analysis”</w:t>
            </w:r>
          </w:p>
        </w:tc>
        <w:tc>
          <w:tcPr>
            <w:tcW w:type="dxa" w:w="6350"/>
          </w:tcPr>
          <w:p>
            <w:pPr>
              <w:spacing w:before="40" w:after="40"/>
            </w:pPr>
            <w:r>
              <w:rPr>
                <w:color w:val="1B2630"/>
                <w:sz w:val="17"/>
              </w:rPr>
              <w:t>Klopt met de richtlijn: productiviteitskosten horen niet in de referentieanalyse. Maar in de complementaire analyse moet het effect met harde data aangetoond worden — zie vraag 5.</w:t>
            </w:r>
          </w:p>
        </w:tc>
      </w:tr>
      <w:tr>
        <w:tc>
          <w:tcPr>
            <w:tcW w:type="dxa" w:w="3515"/>
          </w:tcPr>
          <w:p>
            <w:pPr>
              <w:spacing w:before="40" w:after="40"/>
            </w:pPr>
            <w:r>
              <w:rPr>
                <w:color w:val="1B2630"/>
                <w:sz w:val="17"/>
              </w:rPr>
              <w:t>“healthcare payer perspective”</w:t>
            </w:r>
          </w:p>
        </w:tc>
        <w:tc>
          <w:tcPr>
            <w:tcW w:type="dxa" w:w="6350"/>
          </w:tcPr>
          <w:p>
            <w:pPr>
              <w:spacing w:before="40" w:after="40"/>
            </w:pPr>
            <w:r>
              <w:rPr>
                <w:color w:val="1B2630"/>
                <w:sz w:val="17"/>
              </w:rPr>
              <w:t>Het referentiekader is ruimer dan vaak gedacht: overheid én privé betalers, inclusief het remgeld van de patiënt. Goed nieuws — de dagboeken vragen het remgeld al expliciet.</w:t>
            </w:r>
          </w:p>
        </w:tc>
      </w:tr>
    </w:tbl>
    <w:p>
      <w:pPr>
        <w:spacing w:before="300" w:after="100"/>
      </w:pPr>
      <w:r>
        <w:rPr>
          <w:b/>
          <w:color w:val="FF7A00"/>
          <w:sz w:val="22"/>
        </w:rPr>
        <w:t>4  Wat vóór de versie-lock beslist moet zijn</w:t>
      </w:r>
    </w:p>
    <w:p>
      <w:pPr>
        <w:spacing w:after="80"/>
      </w:pPr>
      <w:r>
        <w:rPr>
          <w:b w:val="0"/>
          <w:color w:val="1B2630"/>
          <w:sz w:val="18"/>
        </w:rPr>
        <w:t>Alleen vraag 1, 2 en 3 raken de eCRF’s en de databank. Een baseline-iMCQ toevoegen of de zorgcategorieën Belgisch maken verandert velden in REDCap, en na de lock is elke wijziging een amendement dat opnieuw langs de ethische commissie moet. Vraag 4, 5 en 6 gaan over de analyse en horen in het analyseplan van oktober — die kunnen wachten.</w:t>
      </w:r>
    </w:p>
    <w:p>
      <w:pPr>
        <w:spacing w:after="80"/>
      </w:pPr>
      <w:r>
        <w:rPr>
          <w:b w:val="0"/>
          <w:color w:val="1B2630"/>
          <w:sz w:val="18"/>
        </w:rPr>
        <w:t>Praktisch gevolg voor mij: zodra vraag 2 beslist is, kan de aanvraag naar iMTA weg. Die vraagt namelijk meteen toestemming voor de Belgische aanpassing, dus ik moet weten of we die maken.</w:t>
      </w:r>
    </w:p>
    <w:p>
      <w:pPr>
        <w:spacing w:before="240" w:after="0"/>
      </w:pPr>
      <w:r>
        <w:rPr>
          <w:b w:val="0"/>
          <w:color w:val="5A6A78"/>
          <w:sz w:val="15"/>
        </w:rPr>
        <w:t>Bron: eigen controle van het manuscript, de eCRF-set en instrument_event_mapping.csv op 24 september 2026. Richtlijn: KCE-rapport 400, Belgian guidelines for economic evaluations and budget impact analyses, derde editie, mei 2025 — richtlijnen 3, 9, 10, 11, 12, 14 en 16.3. Beschikbare versies van iMCQ en iPCQ nagekeken bij iMTA.</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