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database light 29.3.18 en novel studio v1.20.0.340. Noteren gebeurt op het blad ‘Meting’ van de Pressure Monitoring Tool.</w:t>
      </w:r>
    </w:p>
    <w:p>
      <w:r>
        <w:rPr>
          <w:b w:val="0"/>
          <w:i w:val="0"/>
          <w:sz w:val="22"/>
        </w:rPr>
      </w:r>
    </w:p>
    <w:p>
      <w:pPr>
        <w:spacing w:before="120" w:after="120"/>
        <w:ind w:left="425"/>
        <w:pBdr>
          <w:left w:val="single" w:sz="18" w:space="8" w:color="B3261E"/>
        </w:pBdr>
      </w:pPr>
      <w:r>
        <w:rPr>
          <w:b/>
          <w:color w:val="B3261E"/>
          <w:sz w:val="20"/>
        </w:rPr>
        <w:t xml:space="preserve">▲ LET OP  </w:t>
      </w:r>
      <w:r>
        <w:rPr>
          <w:b/>
        </w:rPr>
        <w:t>Zo ziet een waarschuwing eruit. Deze regels gaan over dingen die de meting waardeloos maken of het toestel beschadigen. Sla ze niet over.</w:t>
      </w:r>
    </w:p>
    <w:p>
      <w:pPr>
        <w:spacing w:before="120" w:after="120"/>
        <w:ind w:left="425"/>
        <w:pBdr>
          <w:left w:val="single" w:sz="18" w:space="8" w:color="123A5F"/>
        </w:pBdr>
      </w:pPr>
      <w:r>
        <w:rPr>
          <w:b/>
          <w:color w:val="123A5F"/>
          <w:sz w:val="20"/>
        </w:rPr>
        <w:t xml:space="preserve">■ CONTROLEER  </w:t>
      </w:r>
      <w:r>
        <w:rPr>
          <w:b/>
        </w:rPr>
        <w:t>En zo een controlepunt: hier kijk je iets na voordat je verder gaat.</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database light op de laptop. De meting begint daar, niet in novel studio.</w:t>
      </w:r>
    </w:p>
    <w:p>
      <w:pPr>
        <w:keepNext/>
        <w:spacing w:before="200" w:after="80"/>
      </w:pPr>
      <w:r>
        <w:rPr>
          <w:b/>
          <w:color w:val="123A5F"/>
          <w:sz w:val="24"/>
        </w:rPr>
        <w:t>2. De kleurenschaal instellen — eenmalig per laptop</w:t>
      </w:r>
    </w:p>
    <w:p>
      <w:r>
        <w:rPr>
          <w:b w:val="0"/>
          <w:i/>
          <w:sz w:val="22"/>
        </w:rPr>
        <w:t>Doe dit één keer per laptop, vóór de eerste deelnemer. Het palet zit in novel studio, dus start dat programma hier eenmalig los op. Staat het palet al goed, ga dan meteen door naar hoofdstuk 3.</w:t>
      </w:r>
    </w:p>
    <w:p>
      <w:r>
        <w:rPr>
          <w:b/>
          <w:i w:val="0"/>
          <w:sz w:val="22"/>
        </w:rPr>
        <w:t>Zolang de zool niet in regio’s verdeeld kan worden, doet het palet dat werk: het toont met kleur waar de druk boven de norm uitkomt. Zonder deze instelling kun je stap 41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uit de standaardinstelling gaat eruit. Zo is er één topkleur, en die betekent één ding: hier ligt de druk op of boven de norm.</w:t>
      </w:r>
    </w:p>
    <w:p>
      <w:pPr>
        <w:ind w:left="397" w:hanging="397"/>
      </w:pPr>
      <w:r>
        <w:rPr>
          <w:b/>
        </w:rPr>
        <w:t xml:space="preserve">5. </w:t>
      </w:r>
      <w:r>
        <w:t>Bewaar de instelling met ‘Save custom set’ en gebruik ‘Load custom set’ om hem op elke laptop te laden. Alle zes de centra werken met hetzelfde bestand.</w:t>
      </w:r>
    </w:p>
    <w:p>
      <w:pPr>
        <w:spacing w:before="120" w:after="120"/>
        <w:ind w:left="425"/>
        <w:pBdr>
          <w:left w:val="single" w:sz="18" w:space="8" w:color="B3261E"/>
        </w:pBdr>
      </w:pPr>
      <w:r>
        <w:rPr>
          <w:b/>
          <w:color w:val="B3261E"/>
          <w:sz w:val="20"/>
        </w:rPr>
        <w:t xml:space="preserve">▲ LET OP  </w:t>
      </w:r>
      <w:r>
        <w:rPr>
          <w:b/>
        </w:rPr>
        <w:t>Wijzig het palet niet tussen deelnemers of visites: dan zijn de schermafbeeldingen onderling niet meer vergelijkbaar.</w:t>
      </w:r>
    </w:p>
    <w:p>
      <w:pPr>
        <w:keepNext/>
        <w:spacing w:before="200" w:after="80"/>
      </w:pPr>
      <w:r>
        <w:rPr>
          <w:b/>
          <w:color w:val="123A5F"/>
          <w:sz w:val="24"/>
        </w:rPr>
        <w:t>3. De deelnemer in de database</w:t>
      </w:r>
    </w:p>
    <w:p>
      <w:r>
        <w:rPr>
          <w:b/>
          <w:i w:val="0"/>
          <w:sz w:val="22"/>
        </w:rPr>
        <w:t>De meting start in novel database light 29.3.18. Een meting die daar begint hangt meteen aan de juiste persoon en het juiste bezoek; begin je in novel studio, dan krijg je een los bestand dat achteraf gekoppeld moet worden.</w:t>
      </w:r>
    </w:p>
    <w:p>
      <w:pPr>
        <w:keepNext/>
        <w:spacing w:before="160"/>
      </w:pPr>
      <w:r>
        <w:rPr>
          <w:b/>
          <w:color w:val="123A5F"/>
          <w:sz w:val="20"/>
        </w:rPr>
        <w:t>Figuur 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3" name="Picture 3"/>
            <wp:cNvGraphicFramePr>
              <a:graphicFrameLocks noChangeAspect="1"/>
            </wp:cNvGraphicFramePr>
            <a:graphic>
              <a:graphicData uri="http://schemas.openxmlformats.org/drawingml/2006/picture">
                <pic:pic>
                  <pic:nvPicPr>
                    <pic:cNvPr id="0" name="Schermafbeelding 2026-09-14 093611.png"/>
                    <pic:cNvPicPr/>
                  </pic:nvPicPr>
                  <pic:blipFill>
                    <a:blip r:embed="rId1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dat heb je voor een gewone meting niet nodig.</w:t>
      </w:r>
    </w:p>
    <w:p>
      <w:pPr>
        <w:keepNext/>
        <w:spacing w:before="160"/>
      </w:pPr>
      <w:r>
        <w:rPr>
          <w:b/>
          <w:color w:val="123A5F"/>
          <w:sz w:val="20"/>
        </w:rPr>
        <w:t>Figuur 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4" name="Picture 4"/>
            <wp:cNvGraphicFramePr>
              <a:graphicFrameLocks noChangeAspect="1"/>
            </wp:cNvGraphicFramePr>
            <a:graphic>
              <a:graphicData uri="http://schemas.openxmlformats.org/drawingml/2006/picture">
                <pic:pic>
                  <pic:nvPicPr>
                    <pic:cNvPr id="0" name="Schermafbeelding 2026-09-14 093655.png"/>
                    <pic:cNvPicPr/>
                  </pic:nvPicPr>
                  <pic:blipFill>
                    <a:blip r:embed="rId13"/>
                    <a:stretch>
                      <a:fillRect/>
                    </a:stretch>
                  </pic:blipFill>
                  <pic:spPr>
                    <a:xfrm>
                      <a:off x="0" y="0"/>
                      <a:ext cx="5400000" cy="3205393"/>
                    </a:xfrm>
                    <a:prstGeom prst="rect"/>
                  </pic:spPr>
                </pic:pic>
              </a:graphicData>
            </a:graphic>
          </wp:inline>
        </w:drawing>
      </w:r>
    </w:p>
    <w:p>
      <w:pPr>
        <w:ind w:left="397" w:hanging="397"/>
      </w:pPr>
      <w:r>
        <w:rPr>
          <w:b/>
        </w:rPr>
        <w:t xml:space="preserve">6. </w:t>
      </w:r>
      <w:r>
        <w:t>Kies de database Sint_Jan_Paradise_Project. Alias ‘local’, authenticatie via Windows. Staat er ‘Connected’ in het groen, dan is de verbinding in orde. Laat de twee demodatabases ongemoeid.</w:t>
      </w:r>
    </w:p>
    <w:p>
      <w:pPr>
        <w:ind w:left="397" w:hanging="397"/>
      </w:pPr>
      <w:r>
        <w:rPr>
          <w:b/>
        </w:rPr>
        <w:t xml:space="preserve">7. </w:t>
      </w:r>
      <w:r>
        <w:t>Zoek de deelnemer met ‘Search’. Staat die er nog niet, maak hem dan aan met ‘New data set’.</w:t>
      </w:r>
    </w:p>
    <w:p>
      <w:pPr>
        <w:keepNext/>
        <w:spacing w:before="160"/>
      </w:pPr>
      <w:r>
        <w:rPr>
          <w:b/>
          <w:color w:val="123A5F"/>
          <w:sz w:val="20"/>
        </w:rPr>
        <w:t>Figuur 5: Persons — alleen de deelnemerscode, geen naam</w:t>
      </w:r>
    </w:p>
    <w:p>
      <w:pPr>
        <w:spacing w:after="160"/>
        <w:jc w:val="center"/>
      </w:pPr>
      <w:r>
        <w:drawing>
          <wp:inline xmlns:a="http://schemas.openxmlformats.org/drawingml/2006/main" xmlns:pic="http://schemas.openxmlformats.org/drawingml/2006/picture">
            <wp:extent cx="5400000" cy="3218054"/>
            <wp:docPr id="5" name="Picture 5"/>
            <wp:cNvGraphicFramePr>
              <a:graphicFrameLocks noChangeAspect="1"/>
            </wp:cNvGraphicFramePr>
            <a:graphic>
              <a:graphicData uri="http://schemas.openxmlformats.org/drawingml/2006/picture">
                <pic:pic>
                  <pic:nvPicPr>
                    <pic:cNvPr id="0" name="Schermafbeelding 2026-09-14 093745.png"/>
                    <pic:cNvPicPr/>
                  </pic:nvPicPr>
                  <pic:blipFill>
                    <a:blip r:embed="rId14"/>
                    <a:stretch>
                      <a:fillRect/>
                    </a:stretch>
                  </pic:blipFill>
                  <pic:spPr>
                    <a:xfrm>
                      <a:off x="0" y="0"/>
                      <a:ext cx="5400000" cy="3218054"/>
                    </a:xfrm>
                    <a:prstGeom prst="rect"/>
                  </pic:spPr>
                </pic:pic>
              </a:graphicData>
            </a:graphic>
          </wp:inline>
        </w:drawing>
      </w:r>
    </w:p>
    <w:p>
      <w:pPr>
        <w:ind w:left="397" w:hanging="397"/>
      </w:pPr>
      <w:r>
        <w:rPr>
          <w:b/>
        </w:rPr>
        <w:t xml:space="preserve">8. </w:t>
      </w:r>
      <w:r>
        <w:t>Vul bij ID en External ID de deelnemerscode in, zet een X in First name en Last name, en 01/01/1900 bij Date of birth. Laat adres, telefoonnummer en beroep leeg.</w:t>
      </w:r>
    </w:p>
    <w:p>
      <w:pPr>
        <w:ind w:left="340"/>
      </w:pPr>
      <w:r>
        <w:rPr>
          <w:b w:val="0"/>
          <w:i/>
          <w:sz w:val="22"/>
        </w:rPr>
        <w:t>De database vraagt naam en geboortedatum omdat ze voor klinische dossiers gebouwd is; in de studie hoort daar niets herleidbaars in. Dezelfde 01/01/1900 voor élke deelnemer — het veld Age komt daardoor op 126, en dat is het teken dat het een plaatshouder is.</w:t>
      </w:r>
    </w:p>
    <w:p>
      <w:pPr>
        <w:keepNext/>
        <w:spacing w:before="160"/>
      </w:pPr>
      <w:r>
        <w:rPr>
          <w:b/>
          <w:color w:val="123A5F"/>
          <w:sz w:val="20"/>
        </w:rPr>
        <w:t>Figuur 6: Visits — datum, leeftijd, lengte, gewicht en schoenmaat</w:t>
      </w:r>
    </w:p>
    <w:p>
      <w:pPr>
        <w:spacing w:after="160"/>
        <w:jc w:val="center"/>
      </w:pPr>
      <w:r>
        <w:drawing>
          <wp:inline xmlns:a="http://schemas.openxmlformats.org/drawingml/2006/main" xmlns:pic="http://schemas.openxmlformats.org/drawingml/2006/picture">
            <wp:extent cx="3960000" cy="3352878"/>
            <wp:docPr id="6" name="Picture 6"/>
            <wp:cNvGraphicFramePr>
              <a:graphicFrameLocks noChangeAspect="1"/>
            </wp:cNvGraphicFramePr>
            <a:graphic>
              <a:graphicData uri="http://schemas.openxmlformats.org/drawingml/2006/picture">
                <pic:pic>
                  <pic:nvPicPr>
                    <pic:cNvPr id="0" name="Schermafbeelding 2026-09-14 093804.png"/>
                    <pic:cNvPicPr/>
                  </pic:nvPicPr>
                  <pic:blipFill>
                    <a:blip r:embed="rId15"/>
                    <a:stretch>
                      <a:fillRect/>
                    </a:stretch>
                  </pic:blipFill>
                  <pic:spPr>
                    <a:xfrm>
                      <a:off x="0" y="0"/>
                      <a:ext cx="3960000" cy="3352878"/>
                    </a:xfrm>
                    <a:prstGeom prst="rect"/>
                  </pic:spPr>
                </pic:pic>
              </a:graphicData>
            </a:graphic>
          </wp:inline>
        </w:drawing>
      </w:r>
    </w:p>
    <w:p>
      <w:pPr>
        <w:ind w:left="397" w:hanging="397"/>
      </w:pPr>
      <w:r>
        <w:rPr>
          <w:b/>
        </w:rPr>
        <w:t xml:space="preserve">9. </w:t>
      </w:r>
      <w:r>
        <w:t>Klik op ‘Add Visit’ en vul datum, lengte, gewicht en schoenmaat in. Het gewicht is nodig om de drukwaarden later te kunnen normaliseren.</w:t>
      </w:r>
    </w:p>
    <w:p>
      <w:pPr>
        <w:ind w:left="340"/>
      </w:pPr>
      <w:r>
        <w:rPr>
          <w:b w:val="0"/>
          <w:i/>
          <w:sz w:val="22"/>
        </w:rPr>
        <w:t>Elk meetmoment is een apart bezoek. History, Comments, Results en Conclusion zijn vrije tekst — zet daar niets in dat naar de deelnemer herleidbaar is.</w:t>
      </w:r>
    </w:p>
    <w:p>
      <w:pPr>
        <w:keepNext/>
        <w:spacing w:before="160"/>
      </w:pPr>
      <w:r>
        <w:rPr>
          <w:b/>
          <w:color w:val="123A5F"/>
          <w:sz w:val="20"/>
        </w:rPr>
        <w:t>Figuur 7: pedar Files — hier staat de knop ‘Measure’</w:t>
      </w:r>
    </w:p>
    <w:p>
      <w:pPr>
        <w:spacing w:after="160"/>
        <w:jc w:val="center"/>
      </w:pPr>
      <w:r>
        <w:drawing>
          <wp:inline xmlns:a="http://schemas.openxmlformats.org/drawingml/2006/main" xmlns:pic="http://schemas.openxmlformats.org/drawingml/2006/picture">
            <wp:extent cx="3960000" cy="3267000"/>
            <wp:docPr id="7" name="Picture 7"/>
            <wp:cNvGraphicFramePr>
              <a:graphicFrameLocks noChangeAspect="1"/>
            </wp:cNvGraphicFramePr>
            <a:graphic>
              <a:graphicData uri="http://schemas.openxmlformats.org/drawingml/2006/picture">
                <pic:pic>
                  <pic:nvPicPr>
                    <pic:cNvPr id="0" name="Schermafbeelding 2026-09-14 093843.png"/>
                    <pic:cNvPicPr/>
                  </pic:nvPicPr>
                  <pic:blipFill>
                    <a:blip r:embed="rId16"/>
                    <a:stretch>
                      <a:fillRect/>
                    </a:stretch>
                  </pic:blipFill>
                  <pic:spPr>
                    <a:xfrm>
                      <a:off x="0" y="0"/>
                      <a:ext cx="3960000" cy="3267000"/>
                    </a:xfrm>
                    <a:prstGeom prst="rect"/>
                  </pic:spPr>
                </pic:pic>
              </a:graphicData>
            </a:graphic>
          </wp:inline>
        </w:drawing>
      </w:r>
    </w:p>
    <w:p>
      <w:pPr>
        <w:spacing w:before="120" w:after="120"/>
        <w:ind w:left="425"/>
        <w:pBdr>
          <w:left w:val="single" w:sz="18" w:space="8" w:color="123A5F"/>
        </w:pBdr>
      </w:pPr>
      <w:r>
        <w:rPr>
          <w:b/>
          <w:color w:val="123A5F"/>
          <w:sz w:val="20"/>
        </w:rPr>
        <w:t xml:space="preserve">■ CONTROLEER  </w:t>
      </w:r>
      <w:r>
        <w:rPr>
          <w:b/>
        </w:rPr>
        <w:t>Ga naar het tabblad pedar Files en laat dat openstaan. De knop ‘Measure’ gebruik je in hoofdstuk 10, zodra de zolen aangesloten en nulgesteld zijn — klik er nu nog niet op.</w:t>
      </w:r>
    </w:p>
    <w:p>
      <w:pPr>
        <w:keepNext/>
        <w:spacing w:before="200" w:after="80"/>
      </w:pPr>
      <w:r>
        <w:rPr>
          <w:b/>
          <w:color w:val="123A5F"/>
          <w:sz w:val="24"/>
        </w:rPr>
        <w:t>4. De juiste zool kiezen — dit is de belangrijkste stap</w:t>
      </w:r>
    </w:p>
    <w:p>
      <w:pPr>
        <w:spacing w:before="120" w:after="120"/>
        <w:ind w:left="425"/>
        <w:pBdr>
          <w:left w:val="single" w:sz="18" w:space="8" w:color="B3261E"/>
        </w:pBdr>
      </w:pPr>
      <w:r>
        <w:rPr>
          <w:b/>
          <w:color w:val="B3261E"/>
          <w:sz w:val="20"/>
        </w:rPr>
        <w:t xml:space="preserve">▲ LET OP  </w:t>
      </w:r>
      <w:r>
        <w:rPr>
          <w:b/>
        </w:rPr>
        <w:t>Elke zool heeft een eigen maat én een eigen kalibratie. Kies je de verkeerde zool of het verkeerde configuratiebestand, dan meet de software door met verkeerde waarden, zonder te waarschuwen. Niets vangt dat achteraf op.</w:t>
      </w:r>
    </w:p>
    <w:p>
      <w:pPr>
        <w:keepNext/>
        <w:spacing w:before="160"/>
      </w:pPr>
      <w:r>
        <w:rPr>
          <w:b/>
          <w:color w:val="123A5F"/>
          <w:sz w:val="20"/>
        </w:rPr>
        <w:t>Figuur 8: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8" name="Picture 8"/>
            <wp:cNvGraphicFramePr>
              <a:graphicFrameLocks noChangeAspect="1"/>
            </wp:cNvGraphicFramePr>
            <a:graphic>
              <a:graphicData uri="http://schemas.openxmlformats.org/drawingml/2006/picture">
                <pic:pic>
                  <pic:nvPicPr>
                    <pic:cNvPr id="0" name="20260910_101052.jpg"/>
                    <pic:cNvPicPr/>
                  </pic:nvPicPr>
                  <pic:blipFill>
                    <a:blip r:embed="rId17"/>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in huis; de zool in de schoen vangt het verschil op. Schoenmaat is geen reden om niet te meten.</w:t>
      </w:r>
    </w:p>
    <w:p>
      <w:r>
        <w:rPr>
          <w:b w:val="0"/>
          <w:i w:val="0"/>
          <w:sz w:val="22"/>
        </w:rPr>
      </w:r>
    </w:p>
    <w:p>
      <w:pPr>
        <w:ind w:left="397" w:hanging="397"/>
      </w:pPr>
      <w:r>
        <w:rPr>
          <w:b/>
        </w:rPr>
        <w:t xml:space="preserve">10. </w:t>
      </w:r>
      <w:r>
        <w:t>Vraag de schoenmaat van de deelnemer en kies de zool uit de tabel hierboven.</w:t>
      </w:r>
    </w:p>
    <w:p>
      <w:pPr>
        <w:ind w:left="397" w:hanging="397"/>
      </w:pPr>
      <w:r>
        <w:rPr>
          <w:b/>
        </w:rPr>
        <w:t xml:space="preserve">11. </w:t>
      </w:r>
      <w:r>
        <w:t>Lees het label op de zool en noteer de volledige code — bijvoorbeeld XW.830R — in blok 1. Je hebt ze nodig om het configuratiebestand te kiezen.</w:t>
      </w:r>
    </w:p>
    <w:p>
      <w:pPr>
        <w:ind w:left="397" w:hanging="397"/>
      </w:pPr>
      <w:r>
        <w:rPr>
          <w:b/>
        </w:rPr>
        <w:t xml:space="preserve">12. </w:t>
      </w:r>
      <w:r>
        <w:t>Controleer dat je een linker- en een rechterzool van dezelfde maat neemt.</w:t>
      </w:r>
    </w:p>
    <w:p>
      <w:pPr>
        <w:keepNext/>
        <w:spacing w:before="200" w:after="80"/>
      </w:pPr>
      <w:r>
        <w:rPr>
          <w:b/>
          <w:color w:val="123A5F"/>
          <w:sz w:val="24"/>
        </w:rPr>
        <w:t>5. Aansluiten en aanzetten</w:t>
      </w:r>
    </w:p>
    <w:p>
      <w:pPr>
        <w:keepNext/>
        <w:spacing w:before="160"/>
      </w:pPr>
      <w:r>
        <w:rPr>
          <w:b/>
          <w:color w:val="123A5F"/>
          <w:sz w:val="20"/>
        </w:rPr>
        <w:t>Figuur 9: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9" name="Picture 9"/>
            <wp:cNvGraphicFramePr>
              <a:graphicFrameLocks noChangeAspect="1"/>
            </wp:cNvGraphicFramePr>
            <a:graphic>
              <a:graphicData uri="http://schemas.openxmlformats.org/drawingml/2006/picture">
                <pic:pic>
                  <pic:nvPicPr>
                    <pic:cNvPr id="0" name="20260910_101023.jpg"/>
                    <pic:cNvPicPr/>
                  </pic:nvPicPr>
                  <pic:blipFill>
                    <a:blip r:embed="rId18"/>
                    <a:stretch>
                      <a:fillRect/>
                    </a:stretch>
                  </pic:blipFill>
                  <pic:spPr>
                    <a:xfrm>
                      <a:off x="0" y="0"/>
                      <a:ext cx="2880000" cy="2158276"/>
                    </a:xfrm>
                    <a:prstGeom prst="rect"/>
                  </pic:spPr>
                </pic:pic>
              </a:graphicData>
            </a:graphic>
          </wp:inline>
        </w:drawing>
      </w:r>
    </w:p>
    <w:p>
      <w:pPr>
        <w:ind w:left="397" w:hanging="397"/>
      </w:pPr>
      <w:r>
        <w:rPr>
          <w:b/>
        </w:rPr>
        <w:t xml:space="preserve">13. </w:t>
      </w:r>
      <w:r>
        <w:t>Sluit de linkerzool aan op de zender met L in de naam, en de rechterzool op die met R. De letter op de connector en op de zender moeten overeenkomen.</w:t>
      </w:r>
    </w:p>
    <w:p>
      <w:pPr>
        <w:ind w:left="397" w:hanging="397"/>
      </w:pPr>
      <w:r>
        <w:rPr>
          <w:b/>
        </w:rPr>
        <w:t xml:space="preserve">14. </w:t>
      </w:r>
      <w:r>
        <w:t>Zet beide zenders aan met de knop bovenaan.</w:t>
      </w:r>
    </w:p>
    <w:p>
      <w:pPr>
        <w:spacing w:before="120" w:after="120"/>
        <w:ind w:left="425"/>
        <w:pBdr>
          <w:left w:val="single" w:sz="18" w:space="8" w:color="B3261E"/>
        </w:pBdr>
      </w:pPr>
      <w:r>
        <w:rPr>
          <w:b/>
          <w:color w:val="B3261E"/>
          <w:sz w:val="20"/>
        </w:rPr>
        <w:t xml:space="preserve">▲ LET OP  </w:t>
      </w:r>
      <w:r>
        <w:rPr>
          <w:b/>
        </w:rPr>
        <w:t>De zolen blijven voorlopig op tafel liggen. Ze gaan pas in de schoen na het nulstellen, in stap 27.</w:t>
      </w:r>
    </w:p>
    <w:p>
      <w:pPr>
        <w:keepNext/>
        <w:spacing w:before="200" w:after="80"/>
      </w:pPr>
      <w:r>
        <w:rPr>
          <w:b/>
          <w:color w:val="123A5F"/>
          <w:sz w:val="24"/>
        </w:rPr>
        <w:t>6. Toestellen verbinden</w:t>
      </w:r>
    </w:p>
    <w:p>
      <w:pPr>
        <w:keepNext/>
        <w:spacing w:before="160"/>
      </w:pPr>
      <w:r>
        <w:rPr>
          <w:b/>
          <w:color w:val="123A5F"/>
          <w:sz w:val="20"/>
        </w:rPr>
        <w:t>Figuur 10: Manage Devices — toestellen nog niet verbonden</w:t>
      </w:r>
    </w:p>
    <w:p>
      <w:pPr>
        <w:spacing w:after="160"/>
        <w:jc w:val="center"/>
      </w:pPr>
      <w:r>
        <w:drawing>
          <wp:inline xmlns:a="http://schemas.openxmlformats.org/drawingml/2006/main" xmlns:pic="http://schemas.openxmlformats.org/drawingml/2006/picture">
            <wp:extent cx="5760000" cy="3430340"/>
            <wp:docPr id="10" name="Picture 10"/>
            <wp:cNvGraphicFramePr>
              <a:graphicFrameLocks noChangeAspect="1"/>
            </wp:cNvGraphicFramePr>
            <a:graphic>
              <a:graphicData uri="http://schemas.openxmlformats.org/drawingml/2006/picture">
                <pic:pic>
                  <pic:nvPicPr>
                    <pic:cNvPr id="0" name="Schermafbeelding 2026-09-10 100244.png"/>
                    <pic:cNvPicPr/>
                  </pic:nvPicPr>
                  <pic:blipFill>
                    <a:blip r:embed="rId19"/>
                    <a:stretch>
                      <a:fillRect/>
                    </a:stretch>
                  </pic:blipFill>
                  <pic:spPr>
                    <a:xfrm>
                      <a:off x="0" y="0"/>
                      <a:ext cx="5760000" cy="3430340"/>
                    </a:xfrm>
                    <a:prstGeom prst="rect"/>
                  </pic:spPr>
                </pic:pic>
              </a:graphicData>
            </a:graphic>
          </wp:inline>
        </w:drawing>
      </w:r>
    </w:p>
    <w:p>
      <w:pPr>
        <w:ind w:left="397" w:hanging="397"/>
      </w:pPr>
      <w:r>
        <w:rPr>
          <w:b/>
        </w:rPr>
        <w:t xml:space="preserve">15. </w:t>
      </w:r>
      <w:r>
        <w:t>Ga naar ‘Manage Devices’ en klik op ‘Scan Wi-Fi’ bij ‘pedar &amp; pliance’.</w:t>
      </w:r>
    </w:p>
    <w:p>
      <w:pPr>
        <w:ind w:left="397" w:hanging="397"/>
      </w:pPr>
      <w:r>
        <w:rPr>
          <w:b/>
        </w:rPr>
        <w:t xml:space="preserve">16. </w:t>
      </w:r>
      <w:r>
        <w:t>Er verschijnen twee toestellen. Staat er ‘Device lost’, klik dan op ‘Connect’ onder elk toestel.</w:t>
      </w:r>
    </w:p>
    <w:p>
      <w:pPr>
        <w:ind w:left="340"/>
      </w:pPr>
      <w:r>
        <w:rPr>
          <w:b w:val="0"/>
          <w:i/>
          <w:sz w:val="22"/>
        </w:rPr>
        <w:t>De router deelt de IP-adressen wisselend uit. Ga af op de naam — plidar-G009L en plidar-G026R — nooit op het IP.</w:t>
      </w:r>
    </w:p>
    <w:p>
      <w:pPr>
        <w:keepNext/>
        <w:spacing w:before="160"/>
      </w:pPr>
      <w:r>
        <w:rPr>
          <w:b/>
          <w:color w:val="123A5F"/>
          <w:sz w:val="20"/>
        </w:rPr>
        <w:t>Figuur 11: Manage Devices — beide toestellen verbonden en klaar</w:t>
      </w:r>
    </w:p>
    <w:p>
      <w:pPr>
        <w:spacing w:after="160"/>
        <w:jc w:val="center"/>
      </w:pPr>
      <w:r>
        <w:drawing>
          <wp:inline xmlns:a="http://schemas.openxmlformats.org/drawingml/2006/main" xmlns:pic="http://schemas.openxmlformats.org/drawingml/2006/picture">
            <wp:extent cx="5760000" cy="3432591"/>
            <wp:docPr id="11" name="Picture 11"/>
            <wp:cNvGraphicFramePr>
              <a:graphicFrameLocks noChangeAspect="1"/>
            </wp:cNvGraphicFramePr>
            <a:graphic>
              <a:graphicData uri="http://schemas.openxmlformats.org/drawingml/2006/picture">
                <pic:pic>
                  <pic:nvPicPr>
                    <pic:cNvPr id="0" name="Schermafbeelding 2026-09-10 101213.png"/>
                    <pic:cNvPicPr/>
                  </pic:nvPicPr>
                  <pic:blipFill>
                    <a:blip r:embed="rId20"/>
                    <a:stretch>
                      <a:fillRect/>
                    </a:stretch>
                  </pic:blipFill>
                  <pic:spPr>
                    <a:xfrm>
                      <a:off x="0" y="0"/>
                      <a:ext cx="5760000" cy="3432591"/>
                    </a:xfrm>
                    <a:prstGeom prst="rect"/>
                  </pic:spPr>
                </pic:pic>
              </a:graphicData>
            </a:graphic>
          </wp:inline>
        </w:drawing>
      </w:r>
    </w:p>
    <w:p>
      <w:pPr>
        <w:ind w:left="397" w:hanging="397"/>
      </w:pPr>
      <w:r>
        <w:rPr>
          <w:b/>
        </w:rPr>
        <w:t xml:space="preserve">17. </w:t>
      </w:r>
      <w:r>
        <w:t>Controleer per toestel dat de balk op ‘Ready’ staat, en noteer in blok 2:</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7. Het configuratiebestand koppelen</w:t>
      </w:r>
    </w:p>
    <w:p>
      <w:pPr>
        <w:keepNext/>
        <w:spacing w:before="160"/>
      </w:pPr>
      <w:r>
        <w:rPr>
          <w:b/>
          <w:color w:val="123A5F"/>
          <w:sz w:val="20"/>
        </w:rPr>
        <w:t>Figuur 12: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12" name="Picture 12"/>
            <wp:cNvGraphicFramePr>
              <a:graphicFrameLocks noChangeAspect="1"/>
            </wp:cNvGraphicFramePr>
            <a:graphic>
              <a:graphicData uri="http://schemas.openxmlformats.org/drawingml/2006/picture">
                <pic:pic>
                  <pic:nvPicPr>
                    <pic:cNvPr id="0" name="Schermafbeelding 2026-09-10 101240.png"/>
                    <pic:cNvPicPr/>
                  </pic:nvPicPr>
                  <pic:blipFill>
                    <a:blip r:embed="rId21"/>
                    <a:stretch>
                      <a:fillRect/>
                    </a:stretch>
                  </pic:blipFill>
                  <pic:spPr>
                    <a:xfrm>
                      <a:off x="0" y="0"/>
                      <a:ext cx="5760000" cy="3443845"/>
                    </a:xfrm>
                    <a:prstGeom prst="rect"/>
                  </pic:spPr>
                </pic:pic>
              </a:graphicData>
            </a:graphic>
          </wp:inline>
        </w:drawing>
      </w:r>
    </w:p>
    <w:p>
      <w:pPr>
        <w:ind w:left="397" w:hanging="397"/>
      </w:pPr>
      <w:r>
        <w:rPr>
          <w:b/>
        </w:rPr>
        <w:t xml:space="preserve">18. </w:t>
      </w:r>
      <w:r>
        <w:t>Klik bij het linkertoestel op ‘Select config file’.</w:t>
      </w:r>
    </w:p>
    <w:p>
      <w:pPr>
        <w:ind w:left="397" w:hanging="397"/>
      </w:pPr>
      <w:r>
        <w:rPr>
          <w:b/>
        </w:rPr>
        <w:t xml:space="preserve">19. </w:t>
      </w:r>
      <w:r>
        <w:t>Kies het bestand waarvan de code overeenkomt met het label dat je in stap 11 hebt genoteerd. Voor zool XW.831L is dat plidar-G009L_xw831L.</w:t>
      </w:r>
    </w:p>
    <w:p>
      <w:pPr>
        <w:ind w:left="397" w:hanging="397"/>
      </w:pPr>
      <w:r>
        <w:rPr>
          <w:b/>
        </w:rPr>
        <w:t xml:space="preserve">20.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hindert dat de meting niet — niet elke laptop heeft alle vijf lokaal. Wil je het er toch bij: ‘Pick configuration file’ of ‘Import config file’.</w:t>
      </w:r>
    </w:p>
    <w:p>
      <w:pPr>
        <w:ind w:left="397" w:hanging="397"/>
      </w:pPr>
      <w:r>
        <w:rPr>
          <w:b/>
        </w:rPr>
        <w:t xml:space="preserve">21. </w:t>
      </w:r>
      <w:r>
        <w:t>Herhaal voor het rechtertoestel, met het bestand dat op R eindigt.</w:t>
      </w:r>
    </w:p>
    <w:p>
      <w:pPr>
        <w:ind w:left="397" w:hanging="397"/>
      </w:pPr>
      <w:r>
        <w:rPr>
          <w:b/>
        </w:rPr>
        <w:t xml:space="preserve">22.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13: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13" name="Picture 13"/>
            <wp:cNvGraphicFramePr>
              <a:graphicFrameLocks noChangeAspect="1"/>
            </wp:cNvGraphicFramePr>
            <a:graphic>
              <a:graphicData uri="http://schemas.openxmlformats.org/drawingml/2006/picture">
                <pic:pic>
                  <pic:nvPicPr>
                    <pic:cNvPr id="0" name="Schermafbeelding 2026-09-14 093934.png"/>
                    <pic:cNvPicPr/>
                  </pic:nvPicPr>
                  <pic:blipFill>
                    <a:blip r:embed="rId22"/>
                    <a:stretch>
                      <a:fillRect/>
                    </a:stretch>
                  </pic:blipFill>
                  <pic:spPr>
                    <a:xfrm>
                      <a:off x="0" y="0"/>
                      <a:ext cx="5760000" cy="3597719"/>
                    </a:xfrm>
                    <a:prstGeom prst="rect"/>
                  </pic:spPr>
                </pic:pic>
              </a:graphicData>
            </a:graphic>
          </wp:inline>
        </w:drawing>
      </w:r>
    </w:p>
    <w:p>
      <w:pPr>
        <w:spacing w:before="120" w:after="120"/>
        <w:ind w:left="425"/>
        <w:pBdr>
          <w:left w:val="single" w:sz="18" w:space="8" w:color="B3261E"/>
        </w:pBdr>
      </w:pPr>
      <w:r>
        <w:rPr>
          <w:b/>
          <w:color w:val="B3261E"/>
          <w:sz w:val="20"/>
        </w:rPr>
        <w:t xml:space="preserve">▲ LET OP  </w:t>
      </w:r>
      <w:r>
        <w:rPr>
          <w:b/>
        </w:rPr>
        <w:t>Hier staat bij ‘Configuration’ een bestand dat met plidar-G026 begint terwijl het toestel plidar-G009L heet: de linkerzender met de rechterconfiguratie. De software waarschuwt niet en meet door. Vergelijk de gele tekst met de naam van het toestel én met het zoollabel.</w:t>
      </w:r>
    </w:p>
    <w:p>
      <w:pPr>
        <w:keepNext/>
        <w:spacing w:before="200" w:after="80"/>
      </w:pPr>
      <w:r>
        <w:rPr>
          <w:b/>
          <w:color w:val="123A5F"/>
          <w:sz w:val="24"/>
        </w:rPr>
        <w:t>8. Nulstellen en meetfrequentie</w:t>
      </w:r>
    </w:p>
    <w:p>
      <w:pPr>
        <w:keepNext/>
        <w:spacing w:before="160"/>
      </w:pPr>
      <w:r>
        <w:rPr>
          <w:b/>
          <w:color w:val="123A5F"/>
          <w:sz w:val="20"/>
        </w:rPr>
        <w:t>Figuur 14: Measure — nulstellen en meetfrequentie</w:t>
      </w:r>
    </w:p>
    <w:p>
      <w:pPr>
        <w:spacing w:after="160"/>
        <w:jc w:val="center"/>
      </w:pPr>
      <w:r>
        <w:drawing>
          <wp:inline xmlns:a="http://schemas.openxmlformats.org/drawingml/2006/main" xmlns:pic="http://schemas.openxmlformats.org/drawingml/2006/picture">
            <wp:extent cx="5760000" cy="3443845"/>
            <wp:docPr id="14" name="Picture 14"/>
            <wp:cNvGraphicFramePr>
              <a:graphicFrameLocks noChangeAspect="1"/>
            </wp:cNvGraphicFramePr>
            <a:graphic>
              <a:graphicData uri="http://schemas.openxmlformats.org/drawingml/2006/picture">
                <pic:pic>
                  <pic:nvPicPr>
                    <pic:cNvPr id="0" name="Schermafbeelding 2026-09-10 101325.png"/>
                    <pic:cNvPicPr/>
                  </pic:nvPicPr>
                  <pic:blipFill>
                    <a:blip r:embed="rId23"/>
                    <a:stretch>
                      <a:fillRect/>
                    </a:stretch>
                  </pic:blipFill>
                  <pic:spPr>
                    <a:xfrm>
                      <a:off x="0" y="0"/>
                      <a:ext cx="5760000" cy="3443845"/>
                    </a:xfrm>
                    <a:prstGeom prst="rect"/>
                  </pic:spPr>
                </pic:pic>
              </a:graphicData>
            </a:graphic>
          </wp:inline>
        </w:drawing>
      </w:r>
    </w:p>
    <w:p>
      <w:pPr>
        <w:ind w:left="397" w:hanging="397"/>
      </w:pPr>
      <w:r>
        <w:rPr>
          <w:b/>
        </w:rPr>
        <w:t xml:space="preserve">23. </w:t>
      </w:r>
      <w:r>
        <w:t>Ga naar ‘Measure’. Beide toestellen tonen ‘Ready’ en ‘Not zeroed’.</w:t>
      </w:r>
    </w:p>
    <w:p>
      <w:pPr>
        <w:ind w:left="397" w:hanging="397"/>
      </w:pPr>
      <w:r>
        <w:rPr>
          <w:b/>
        </w:rPr>
        <w:t xml:space="preserve">24. </w:t>
      </w:r>
      <w:r>
        <w:t>Leg de twee zolen onbelast en vlak op de tafel — nog niet in de schoen, niets erop, en raak ze niet aan. Klik dan per toestel op ‘Zero device’. De melding ‘Not zeroed’ verdwijnt.</w:t>
      </w:r>
    </w:p>
    <w:p>
      <w:pPr>
        <w:spacing w:before="120" w:after="120"/>
        <w:ind w:left="425"/>
        <w:pBdr>
          <w:left w:val="single" w:sz="18" w:space="8" w:color="B3261E"/>
        </w:pBdr>
      </w:pPr>
      <w:r>
        <w:rPr>
          <w:b/>
          <w:color w:val="B3261E"/>
          <w:sz w:val="20"/>
        </w:rPr>
        <w:t xml:space="preserve">▲ LET OP  </w:t>
      </w:r>
      <w:r>
        <w:rPr>
          <w:b/>
        </w:rPr>
        <w:t>Nulstellen doe je één keer, aan het begin van de sessie. Niet opnieuw tussen de twee condities in: A en B moeten tegen dezelfde nullijn staan.</w:t>
      </w:r>
    </w:p>
    <w:p>
      <w:pPr>
        <w:ind w:left="397" w:hanging="397"/>
      </w:pPr>
      <w:r>
        <w:rPr>
          <w:b/>
        </w:rPr>
        <w:t xml:space="preserve">25. </w:t>
      </w:r>
      <w:r>
        <w:t>Zet ‘Sample rate’ op 100 Hz. De frequentierespons van de zool is opgegeven tot 100 Hz; gebruik voor elke deelnemer en elke visite dezelfde waarde.</w:t>
      </w:r>
    </w:p>
    <w:p>
      <w:pPr>
        <w:ind w:left="397" w:hanging="397"/>
      </w:pPr>
      <w:r>
        <w:rPr>
          <w:b/>
        </w:rPr>
        <w:t xml:space="preserve">26.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9. De zolen in de schoen — let op de volgorde</w:t>
      </w:r>
    </w:p>
    <w:p>
      <w:pPr>
        <w:spacing w:before="120" w:after="120"/>
        <w:ind w:left="425"/>
        <w:pBdr>
          <w:left w:val="single" w:sz="18" w:space="8" w:color="B3261E"/>
        </w:pBdr>
      </w:pPr>
      <w:r>
        <w:rPr>
          <w:b/>
          <w:color w:val="B3261E"/>
          <w:sz w:val="20"/>
        </w:rPr>
        <w:t xml:space="preserve">▲ LET OP  </w:t>
      </w:r>
      <w:r>
        <w:rPr>
          <w:b/>
        </w:rPr>
        <w:t>De pedar-zool meet de druk óp de voet en ligt dus tussen de voet en de orthese, niet eronder. Leg je ze onder de CMFO, dan meet je tussen orthese en schoen en zie je van het ontlastende effect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27. </w:t>
      </w:r>
      <w:r>
        <w:t>Leg de pedar-zool vlak in de schoen, bovenop wat er al in ligt, zonder plooien. Voor conditie B ligt ze dus bovenop de CMFO.</w:t>
      </w:r>
    </w:p>
    <w:p>
      <w:pPr>
        <w:ind w:left="397" w:hanging="397"/>
      </w:pPr>
      <w:r>
        <w:rPr>
          <w:b/>
        </w:rPr>
        <w:t xml:space="preserve">28. </w:t>
      </w:r>
      <w:r>
        <w:t>Leid de kabel langs de binnenkant van de schoen naar buiten, zonder dat hij geklemd raakt, en zet de zender met de klittenband vast op het onderbeen of de enkel.</w:t>
      </w:r>
    </w:p>
    <w:p>
      <w:pPr>
        <w:ind w:left="397" w:hanging="397"/>
      </w:pPr>
      <w:r>
        <w:rPr>
          <w:b/>
        </w:rPr>
        <w:t xml:space="preserve">29. </w:t>
      </w:r>
      <w:r>
        <w:t>Laat de deelnemer dunne, naadloze katoenen sokken aandoen — voor elke deelnemer hetzelfde type — en de schoenen aantrekken.</w:t>
      </w:r>
    </w:p>
    <w:p>
      <w:pPr>
        <w:keepNext/>
        <w:spacing w:before="200" w:after="80"/>
      </w:pPr>
      <w:r>
        <w:rPr>
          <w:b/>
          <w:color w:val="123A5F"/>
          <w:sz w:val="24"/>
        </w:rPr>
        <w:t>10. De meting</w:t>
      </w:r>
    </w:p>
    <w:p>
      <w:r>
        <w:rPr>
          <w:b/>
          <w:i w:val="0"/>
          <w:sz w:val="22"/>
        </w:rPr>
        <w:t>Vanaf visite 2 wordt gemeten in het binnenschoeisel — één paar, geen tweede. Op visite 1 is er nog geen studieschoeisel: dan meet je in de schoenen waarmee de deelnemer binnenkomt.</w:t>
      </w:r>
    </w:p>
    <w:p>
      <w:r>
        <w:rPr>
          <w:b w:val="0"/>
          <w:i w:val="0"/>
          <w:sz w:val="22"/>
        </w:rPr>
      </w:r>
    </w:p>
    <w:p>
      <w:r>
        <w:rPr>
          <w:b/>
          <w:i w:val="0"/>
          <w:sz w:val="22"/>
        </w:rPr>
        <w:t>Twee condities,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alleen conditie A, drie keer na elkaar, als informatie voor de pedorthist. Links en rechts worden tegelijk opgenomen en per voet apart uitgelezen. Sla stap 36 over — er is niets om aan te toetsen.</w:t>
      </w:r>
    </w:p>
    <w:p>
      <w:r>
        <w:rPr>
          <w:b w:val="0"/>
          <w:i w:val="0"/>
          <w:sz w:val="22"/>
        </w:rPr>
      </w:r>
    </w:p>
    <w:p>
      <w:pPr>
        <w:ind w:left="397" w:hanging="397"/>
      </w:pPr>
      <w:r>
        <w:rPr>
          <w:b/>
        </w:rPr>
        <w:t xml:space="preserve">30. </w:t>
      </w:r>
      <w:r>
        <w:t>Ga terug naar de database, naar het tabblad pedar Files van dit bezoek, en klik op ‘Measure’. Het meetprogramma opent met deze deelnemer en dit bezoek al gekoppeld.</w:t>
      </w:r>
    </w:p>
    <w:p>
      <w:pPr>
        <w:spacing w:before="120" w:after="120"/>
        <w:ind w:left="425"/>
        <w:pBdr>
          <w:left w:val="single" w:sz="18" w:space="8" w:color="B3261E"/>
        </w:pBdr>
      </w:pPr>
      <w:r>
        <w:rPr>
          <w:b/>
          <w:color w:val="B3261E"/>
          <w:sz w:val="20"/>
        </w:rPr>
        <w:t xml:space="preserve">▲ LET OP  </w:t>
      </w:r>
      <w:r>
        <w:rPr>
          <w:b/>
        </w:rPr>
        <w:t>Start je toch rechtstreeks in novel studio, dan komt het bestand los te staan en moet het achteraf opgezocht en aan het juiste bezoek gehangen worden. Doe dat niet.</w:t>
      </w:r>
    </w:p>
    <w:p>
      <w:pPr>
        <w:ind w:left="397" w:hanging="397"/>
      </w:pPr>
      <w:r>
        <w:rPr>
          <w:b/>
        </w:rPr>
        <w:t xml:space="preserve">31. </w:t>
      </w:r>
      <w:r>
        <w:t>Vul bij ‘Measurement identification’ de conditie in: A zonder zool of B met zool. Deelnemerscode en visite komen uit de database.</w:t>
      </w:r>
    </w:p>
    <w:p>
      <w:pPr>
        <w:ind w:left="397" w:hanging="397"/>
      </w:pPr>
      <w:r>
        <w:rPr>
          <w:b/>
        </w:rPr>
        <w:t xml:space="preserve">32. </w:t>
      </w:r>
      <w:r>
        <w:t>Laat de deelnemer een paar meter wennen, buiten de meting.</w:t>
      </w:r>
    </w:p>
    <w:p>
      <w:pPr>
        <w:ind w:left="397" w:hanging="397"/>
      </w:pPr>
      <w:r>
        <w:rPr>
          <w:b/>
        </w:rPr>
        <w:t xml:space="preserve">33. </w:t>
      </w:r>
      <w:r>
        <w:t>Klik op ‘Start measurement’ en laat de deelnemer de looproute afleggen op zelfgekozen comfortsnelheid.</w:t>
      </w:r>
    </w:p>
    <w:p>
      <w:pPr>
        <w:ind w:left="397" w:hanging="397"/>
      </w:pPr>
      <w:r>
        <w:rPr>
          <w:b/>
        </w:rPr>
        <w:t xml:space="preserve">34. </w:t>
      </w:r>
      <w:r>
        <w:t>Verzamel minstens 12 bruikbare mid-gait stappen per voet. Eén doorgang levert er een handvol, dus reken op twee tot drie doorgangen. De eerste en de laatste stappen van elke doorgang tellen niet mee — die zijn versnellend of afremmend.</w:t>
      </w:r>
    </w:p>
    <w:p>
      <w:pPr>
        <w:ind w:left="397" w:hanging="397"/>
      </w:pPr>
      <w:r>
        <w:rPr>
          <w:b/>
        </w:rPr>
        <w:t xml:space="preserve">35. </w:t>
      </w:r>
      <w:r>
        <w:t>Klik op ‘Stop’.</w:t>
      </w:r>
    </w:p>
    <w:p>
      <w:pPr>
        <w:ind w:left="397" w:hanging="397"/>
      </w:pPr>
      <w:r>
        <w:rPr>
          <w:b/>
        </w:rPr>
        <w:t xml:space="preserve">36. </w:t>
      </w:r>
      <w:r>
        <w:t>Voor conditie B: schoenen uit, CMFO in de schoen, pedar-zool daar bovenop, en herhaal stap 28 tot 35. Niet opnieuw nulstellen. Houd de snelheid gelijk — bij opvolging maximaal 5% afwijking van de baseline.</w:t>
      </w:r>
    </w:p>
    <w:p>
      <w:pPr>
        <w:keepNext/>
        <w:spacing w:before="200" w:after="80"/>
      </w:pPr>
      <w:r>
        <w:rPr>
          <w:b/>
          <w:color w:val="123A5F"/>
          <w:sz w:val="24"/>
        </w:rPr>
        <w:t>11. De meting bekijken en de piekdruk aflezen</w:t>
      </w:r>
    </w:p>
    <w:p>
      <w:pPr>
        <w:ind w:left="397" w:hanging="397"/>
      </w:pPr>
      <w:r>
        <w:rPr>
          <w:b/>
        </w:rPr>
        <w:t xml:space="preserve">37.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15: Chart controls — het meetvenster afbakenen</w:t>
      </w:r>
    </w:p>
    <w:p>
      <w:pPr>
        <w:spacing w:after="160"/>
        <w:jc w:val="center"/>
      </w:pPr>
      <w:r>
        <w:drawing>
          <wp:inline xmlns:a="http://schemas.openxmlformats.org/drawingml/2006/main" xmlns:pic="http://schemas.openxmlformats.org/drawingml/2006/picture">
            <wp:extent cx="5760000" cy="3339490"/>
            <wp:docPr id="15" name="Picture 15"/>
            <wp:cNvGraphicFramePr>
              <a:graphicFrameLocks noChangeAspect="1"/>
            </wp:cNvGraphicFramePr>
            <a:graphic>
              <a:graphicData uri="http://schemas.openxmlformats.org/drawingml/2006/picture">
                <pic:pic>
                  <pic:nvPicPr>
                    <pic:cNvPr id="0" name="Schermafbeelding 2026-09-10 100125.png"/>
                    <pic:cNvPicPr/>
                  </pic:nvPicPr>
                  <pic:blipFill>
                    <a:blip r:embed="rId24"/>
                    <a:stretch>
                      <a:fillRect/>
                    </a:stretch>
                  </pic:blipFill>
                  <pic:spPr>
                    <a:xfrm>
                      <a:off x="0" y="0"/>
                      <a:ext cx="5760000" cy="3339490"/>
                    </a:xfrm>
                    <a:prstGeom prst="rect"/>
                  </pic:spPr>
                </pic:pic>
              </a:graphicData>
            </a:graphic>
          </wp:inline>
        </w:drawing>
      </w:r>
    </w:p>
    <w:p>
      <w:pPr>
        <w:ind w:left="397" w:hanging="397"/>
      </w:pPr>
      <w:r>
        <w:rPr>
          <w:b/>
        </w:rPr>
        <w:t xml:space="preserve">38. </w:t>
      </w:r>
      <w:r>
        <w:t>Open ‘Chart controls’ om de grafiek af te bakenen: ‘Set Range’ zet begin en eind, en je kunt het venster ook verschuiven. ‘Fit All Data’ zet de weergave terug op de volledige meting.</w:t>
      </w:r>
    </w:p>
    <w:p>
      <w:pPr>
        <w:spacing w:before="120" w:after="120"/>
        <w:ind w:left="425"/>
        <w:pBdr>
          <w:left w:val="single" w:sz="18" w:space="8" w:color="B3261E"/>
        </w:pBdr>
      </w:pPr>
      <w:r>
        <w:rPr>
          <w:b/>
          <w:color w:val="B3261E"/>
          <w:sz w:val="20"/>
        </w:rPr>
        <w:t xml:space="preserve">▲ LET OP  </w:t>
      </w:r>
      <w:r>
        <w:rPr>
          <w:b/>
        </w:rPr>
        <w:t>Dit verandert alleen wat je ziet. De getallen onderaan blijven over de hele opname gerekend — Set Range knipt geen data weg.</w:t>
      </w:r>
    </w:p>
    <w:p>
      <w:pPr>
        <w:keepNext/>
        <w:spacing w:before="160"/>
      </w:pPr>
      <w:r>
        <w:rPr>
          <w:b/>
          <w:color w:val="123A5F"/>
          <w:sz w:val="20"/>
        </w:rPr>
        <w:t>Figuur 16: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6" name="Picture 16"/>
            <wp:cNvGraphicFramePr>
              <a:graphicFrameLocks noChangeAspect="1"/>
            </wp:cNvGraphicFramePr>
            <a:graphic>
              <a:graphicData uri="http://schemas.openxmlformats.org/drawingml/2006/picture">
                <pic:pic>
                  <pic:nvPicPr>
                    <pic:cNvPr id="0" name="Schermafbeelding 2026-09-10 095945.png"/>
                    <pic:cNvPicPr/>
                  </pic:nvPicPr>
                  <pic:blipFill>
                    <a:blip r:embed="rId25"/>
                    <a:stretch>
                      <a:fillRect/>
                    </a:stretch>
                  </pic:blipFill>
                  <pic:spPr>
                    <a:xfrm>
                      <a:off x="0" y="0"/>
                      <a:ext cx="5760000" cy="3343059"/>
                    </a:xfrm>
                    <a:prstGeom prst="rect"/>
                  </pic:spPr>
                </pic:pic>
              </a:graphicData>
            </a:graphic>
          </wp:inline>
        </w:drawing>
      </w:r>
    </w:p>
    <w:p>
      <w:pPr>
        <w:keepNext/>
        <w:spacing w:before="160"/>
      </w:pPr>
      <w:r>
        <w:rPr>
          <w:b/>
          <w:color w:val="123A5F"/>
          <w:sz w:val="20"/>
        </w:rPr>
        <w:t>Figuur 17: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7" name="Picture 17"/>
            <wp:cNvGraphicFramePr>
              <a:graphicFrameLocks noChangeAspect="1"/>
            </wp:cNvGraphicFramePr>
            <a:graphic>
              <a:graphicData uri="http://schemas.openxmlformats.org/drawingml/2006/picture">
                <pic:pic>
                  <pic:nvPicPr>
                    <pic:cNvPr id="0" name="Schermafbeelding 2026-09-10 100159.png"/>
                    <pic:cNvPicPr/>
                  </pic:nvPicPr>
                  <pic:blipFill>
                    <a:blip r:embed="rId26"/>
                    <a:stretch>
                      <a:fillRect/>
                    </a:stretch>
                  </pic:blipFill>
                  <pic:spPr>
                    <a:xfrm>
                      <a:off x="0" y="0"/>
                      <a:ext cx="5760000" cy="3351314"/>
                    </a:xfrm>
                    <a:prstGeom prst="rect"/>
                  </pic:spPr>
                </pic:pic>
              </a:graphicData>
            </a:graphic>
          </wp:inline>
        </w:drawing>
      </w:r>
    </w:p>
    <w:p>
      <w:pPr>
        <w:ind w:left="397" w:hanging="397"/>
      </w:pPr>
      <w:r>
        <w:rPr>
          <w:b/>
        </w:rPr>
        <w:t xml:space="preserve">39.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40. </w:t>
      </w:r>
      <w:r>
        <w:t>Lees onderaan per voet af: Maximum force, Peak pressure, Average pressure en Loaded area. Noteer ze in blok 3 van het blad ‘Meting’.</w:t>
      </w:r>
    </w:p>
    <w:p>
      <w:pPr>
        <w:ind w:left="397" w:hanging="397"/>
      </w:pPr>
      <w:r>
        <w:rPr>
          <w:b/>
        </w:rPr>
        <w:t xml:space="preserve">41. </w:t>
      </w:r>
      <w:r>
        <w:t>Noteer in blok 4 van het blad ‘Meting’ de drie hoogste piekdrukwaarden en waar ze liggen. Alles met de topkleur ligt op of boven 200 kPa. Gebruik de regio-indeling van het protocol: hiel, mediale middenvoet, laterale middenvoet, metatarsaal 1, metatarsaal 2-3, metatarsaal 4-5, hallux, tenen 2-5.</w:t>
      </w:r>
    </w:p>
    <w:p>
      <w:pPr>
        <w:ind w:left="397" w:hanging="397"/>
      </w:pPr>
      <w:r>
        <w:rPr>
          <w:b/>
        </w:rPr>
        <w:t xml:space="preserve">42. </w:t>
      </w:r>
      <w:r>
        <w:t>Maak met Windows + Shift + S een schermafbeelding van het MPP-beeld, met de kleurenschaal erbij, en plak die met Ctrl + V in blok 6 van het blad ‘Meting’, in het vak van de juiste conditie.</w:t>
      </w:r>
    </w:p>
    <w:p>
      <w:pPr>
        <w:spacing w:before="120" w:after="120"/>
        <w:ind w:left="425"/>
        <w:pBdr>
          <w:left w:val="single" w:sz="18" w:space="8" w:color="123A5F"/>
        </w:pBdr>
      </w:pPr>
      <w:r>
        <w:rPr>
          <w:b/>
          <w:color w:val="123A5F"/>
          <w:sz w:val="20"/>
        </w:rPr>
        <w:t xml:space="preserve">■ CONTROLEER  </w:t>
      </w:r>
      <w:r>
        <w:rPr>
          <w:b/>
        </w:rPr>
        <w:t>De norm: piekdruk onder 200 kPa mét de zool, óf minstens 25% lager dan dezelfde regio zonder de zool in dezelfde sessie. Gehaald op alle drie de doelregio’s? Dan is de zool in orde. Zo niet: laat de pedorthist aanpassen en meet opnieuw.</w:t>
      </w:r>
    </w:p>
    <w:p>
      <w:r>
        <w:rPr>
          <w:b/>
          <w:i w:val="0"/>
          <w:sz w:val="22"/>
        </w:rPr>
        <w:t>Verwar ze niet: stap 36 vraagt wat je in dít beeld ziet, de doelregio’s zijn wat ontlast moet worden. De regio met de vorige voetzweer telt altijd mee, ook als ze niet bij de hoogste drie zit.</w:t>
      </w:r>
    </w:p>
    <w:p>
      <w:r>
        <w:rPr>
          <w:b w:val="0"/>
          <w:i/>
          <w:sz w:val="22"/>
        </w:rPr>
        <w:t>Ze worden op eCRF 24 aangeduid, boven de meettabellen: de regio met de vorige voetzweer (eCRF 06), plus per voet de twee plaatsen in vóórvoet of middenvoet boven 200 kPa. De hiel telt niet mee. Duid ze aan vóór je conditie B meet.</w:t>
      </w:r>
    </w:p>
    <w:p>
      <w:r>
        <w:rPr>
          <w:b/>
          <w:i w:val="0"/>
          <w:sz w:val="22"/>
        </w:rPr>
        <w:t>Op maand 6, 12 en 18 kies je ze niet opnieuw maar neem je ze over van het vorige formulier. Heb je dat niet bij de hand, vraag het op vóór de meting.</w:t>
      </w:r>
    </w:p>
    <w:p>
      <w:r>
        <w:rPr>
          <w:b w:val="0"/>
          <w:i/>
          <w:sz w:val="22"/>
        </w:rPr>
        <w:t>Laat de zool ook aanpassen als de piekdruk op een doelregio met 5% of meer gestegen is tegenover de vorige keer, ook al ligt ze onder de norm.</w:t>
      </w:r>
    </w:p>
    <w:p>
      <w:r>
        <w:rPr>
          <w:b w:val="0"/>
          <w:i/>
          <w:sz w:val="22"/>
        </w:rPr>
        <w:t>Dit is een tussenoplossing, tot de segmentatie er is.</w:t>
      </w:r>
    </w:p>
    <w:p>
      <w:pPr>
        <w:keepNext/>
        <w:spacing w:before="200" w:after="80"/>
      </w:pPr>
      <w:r>
        <w:rPr>
          <w:b/>
          <w:color w:val="123A5F"/>
          <w:sz w:val="24"/>
        </w:rPr>
        <w:t>12.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door en noteer dat de deelnemer is blijven staan. De norm gaat op MPP; voor de gemiddelden knipt ‘file master’ die frames er achteraf uit — zie hoofdstuk 14.</w:t>
      </w:r>
    </w:p>
    <w:p>
      <w:r>
        <w:rPr>
          <w:b w:val="0"/>
          <w:i w:val="0"/>
          <w:sz w:val="22"/>
        </w:rPr>
        <w:t>Herhaal de doorgang alleen als de deelnemer zó lang stilstond dat er te weinig stappen overblijven.</w:t>
      </w:r>
    </w:p>
    <w:p>
      <w:pPr>
        <w:keepNext/>
        <w:spacing w:before="200" w:after="80"/>
      </w:pPr>
      <w:r>
        <w:rPr>
          <w:b/>
          <w:color w:val="123A5F"/>
          <w:sz w:val="24"/>
        </w:rPr>
        <w:t>13. Opslaan en afronden</w:t>
      </w:r>
    </w:p>
    <w:p>
      <w:r>
        <w:rPr>
          <w:b/>
          <w:i w:val="0"/>
          <w:sz w:val="22"/>
        </w:rPr>
        <w:t>Alles wat je noteert gaat op één blad: ‘Meting’ in de Pressure Monitoring Tool. De blokken staan in de volgorde van de meting.</w:t>
      </w:r>
    </w:p>
    <w:tbl>
      <w:tblPr>
        <w:tblStyle w:val="TableGrid"/>
        <w:tblW w:type="auto" w:w="0"/>
        <w:jc w:val="left"/>
        <w:tblLook w:firstColumn="1" w:firstRow="1" w:lastColumn="0" w:lastRow="0" w:noHBand="0" w:noVBand="1" w:val="04A0"/>
      </w:tblPr>
      <w:tblGrid>
        <w:gridCol w:w="4513"/>
        <w:gridCol w:w="4513"/>
      </w:tblGrid>
      <w:tr>
        <w:tc>
          <w:tcPr>
            <w:tcW w:type="dxa" w:w="1247"/>
          </w:tcPr>
          <w:p>
            <w:r/>
            <w:r>
              <w:rPr>
                <w:b/>
                <w:color w:val="123A5F"/>
                <w:sz w:val="20"/>
              </w:rPr>
              <w:t>Blok</w:t>
            </w:r>
          </w:p>
        </w:tc>
        <w:tc>
          <w:tcPr>
            <w:tcW w:type="dxa" w:w="7540"/>
          </w:tcPr>
          <w:p>
            <w:r/>
            <w:r>
              <w:rPr>
                <w:b/>
                <w:color w:val="123A5F"/>
                <w:sz w:val="20"/>
              </w:rPr>
              <w:t>Wat erin komt</w:t>
            </w:r>
          </w:p>
        </w:tc>
      </w:tr>
      <w:tr>
        <w:tc>
          <w:tcPr>
            <w:tcW w:type="dxa" w:w="1247"/>
          </w:tcPr>
          <w:p>
            <w:r/>
            <w:r>
              <w:rPr>
                <w:sz w:val="20"/>
              </w:rPr>
              <w:t>1 en 2</w:t>
            </w:r>
          </w:p>
        </w:tc>
        <w:tc>
          <w:tcPr>
            <w:tcW w:type="dxa" w:w="7540"/>
          </w:tcPr>
          <w:p>
            <w:r/>
            <w:r>
              <w:rPr>
                <w:sz w:val="20"/>
              </w:rPr>
              <w:t>Deelnemer, visite, datum, zoolcodes, batterij en configuratiebestand</w:t>
            </w:r>
          </w:p>
        </w:tc>
      </w:tr>
      <w:tr>
        <w:tc>
          <w:tcPr>
            <w:tcW w:type="dxa" w:w="1247"/>
          </w:tcPr>
          <w:p>
            <w:r/>
            <w:r>
              <w:rPr>
                <w:sz w:val="20"/>
              </w:rPr>
              <w:t>3</w:t>
            </w:r>
          </w:p>
        </w:tc>
        <w:tc>
          <w:tcPr>
            <w:tcW w:type="dxa" w:w="7540"/>
          </w:tcPr>
          <w:p>
            <w:r/>
            <w:r>
              <w:rPr>
                <w:sz w:val="20"/>
              </w:rPr>
              <w:t>De vier waarden per voet, voor conditie A en B</w:t>
            </w:r>
          </w:p>
        </w:tc>
      </w:tr>
      <w:tr>
        <w:tc>
          <w:tcPr>
            <w:tcW w:type="dxa" w:w="1247"/>
          </w:tcPr>
          <w:p>
            <w:r/>
            <w:r>
              <w:rPr>
                <w:sz w:val="20"/>
              </w:rPr>
              <w:t>4</w:t>
            </w:r>
          </w:p>
        </w:tc>
        <w:tc>
          <w:tcPr>
            <w:tcW w:type="dxa" w:w="7540"/>
          </w:tcPr>
          <w:p>
            <w:r/>
            <w:r>
              <w:rPr>
                <w:sz w:val="20"/>
              </w:rPr>
              <w:t>De drie hoogste piekdrukken per voet, met hun plaats — de kolommen ‘% verschil’ en ‘Norm gehaald?’ rekenen zelf</w:t>
            </w:r>
          </w:p>
        </w:tc>
      </w:tr>
      <w:tr>
        <w:tc>
          <w:tcPr>
            <w:tcW w:type="dxa" w:w="1247"/>
          </w:tcPr>
          <w:p>
            <w:r/>
            <w:r>
              <w:rPr>
                <w:sz w:val="20"/>
              </w:rPr>
              <w:t>5</w:t>
            </w:r>
          </w:p>
        </w:tc>
        <w:tc>
          <w:tcPr>
            <w:tcW w:type="dxa" w:w="7540"/>
          </w:tcPr>
          <w:p>
            <w:r/>
            <w:r>
              <w:rPr>
                <w:sz w:val="20"/>
              </w:rPr>
              <w:t>De drie doelregio’s, en of de druk sinds de vorige keer met 5% of meer gestegen is</w:t>
            </w:r>
          </w:p>
        </w:tc>
      </w:tr>
      <w:tr>
        <w:tc>
          <w:tcPr>
            <w:tcW w:type="dxa" w:w="1247"/>
          </w:tcPr>
          <w:p>
            <w:r/>
            <w:r>
              <w:rPr>
                <w:sz w:val="20"/>
              </w:rPr>
              <w:t>6</w:t>
            </w:r>
          </w:p>
        </w:tc>
        <w:tc>
          <w:tcPr>
            <w:tcW w:type="dxa" w:w="7540"/>
          </w:tcPr>
          <w:p>
            <w:r/>
            <w:r>
              <w:rPr>
                <w:sz w:val="20"/>
              </w:rPr>
              <w:t>De twee schermafbeeldingen</w:t>
            </w:r>
          </w:p>
        </w:tc>
      </w:tr>
      <w:tr>
        <w:tc>
          <w:tcPr>
            <w:tcW w:type="dxa" w:w="1247"/>
          </w:tcPr>
          <w:p>
            <w:r/>
            <w:r>
              <w:rPr>
                <w:sz w:val="20"/>
              </w:rPr>
              <w:t>7</w:t>
            </w:r>
          </w:p>
        </w:tc>
        <w:tc>
          <w:tcPr>
            <w:tcW w:type="dxa" w:w="7540"/>
          </w:tcPr>
          <w:p>
            <w:r/>
            <w:r>
              <w:rPr>
                <w:sz w:val="20"/>
              </w:rPr>
              <w:t>Blijft leeg tot het masker met de acht regio’s er is</w:t>
            </w:r>
          </w:p>
        </w:tc>
      </w:tr>
    </w:tbl>
    <w:p/>
    <w:p>
      <w:pPr>
        <w:ind w:left="397" w:hanging="397"/>
      </w:pPr>
      <w:r>
        <w:rPr>
          <w:b/>
        </w:rPr>
        <w:t xml:space="preserve">43. </w:t>
      </w:r>
      <w:r>
        <w:t>Gebruik ‘Export as’ om de meting te exporteren.</w:t>
      </w:r>
    </w:p>
    <w:p>
      <w:pPr>
        <w:ind w:left="397" w:hanging="397"/>
      </w:pPr>
      <w:r>
        <w:rPr>
          <w:b/>
        </w:rPr>
        <w:t xml:space="preserve">44. </w:t>
      </w:r>
      <w:r>
        <w:t>Noteer de bestandsnaam en de datum op eCRF 09 of 24, samen met de zoolcodes die je gebruikt hebt.</w:t>
      </w:r>
    </w:p>
    <w:p>
      <w:pPr>
        <w:ind w:left="397" w:hanging="397"/>
      </w:pPr>
      <w:r>
        <w:rPr>
          <w:b/>
        </w:rPr>
        <w:t xml:space="preserve">45. </w:t>
      </w:r>
      <w:r>
        <w:t>Controleer dat de schermafbeelding in de Pressure Monitoring Tool staat, bij de juiste deelnemer, het juiste meetmoment en de juiste conditie — zonder of met de zool.</w:t>
      </w:r>
    </w:p>
    <w:p>
      <w:pPr>
        <w:ind w:left="397" w:hanging="397"/>
      </w:pPr>
      <w:r>
        <w:rPr>
          <w:b/>
        </w:rPr>
        <w:t xml:space="preserve">46. </w:t>
      </w:r>
      <w:r>
        <w:t>Sla de Pressure Monitoring Tool op en mail ze naar janou.debuyser@kuleuven.be.</w:t>
      </w:r>
    </w:p>
    <w:p>
      <w:pPr>
        <w:ind w:left="397" w:hanging="397"/>
      </w:pPr>
      <w:r>
        <w:rPr>
          <w:b/>
        </w:rPr>
        <w:t xml:space="preserve">47. </w:t>
      </w:r>
      <w:r>
        <w:t>Laat het bestand op de laptop staan, ook als je het verstuurd hebt. Lukt het mailen niet, dan blijft het bewaard en wordt het bij een volgend studiebezoek opgehaald. Verwijder het nooit zelf.</w:t>
      </w:r>
    </w:p>
    <w:p>
      <w:pPr>
        <w:keepNext/>
        <w:spacing w:before="200" w:after="80"/>
      </w:pPr>
      <w:r>
        <w:rPr>
          <w:b/>
          <w:color w:val="123A5F"/>
          <w:sz w:val="24"/>
        </w:rPr>
        <w:t>14. Wat er daarna met de meting gebeurt</w:t>
      </w:r>
    </w:p>
    <w:p>
      <w:r>
        <w:rPr>
          <w:b w:val="0"/>
          <w:i w:val="0"/>
          <w:sz w:val="22"/>
        </w:rPr>
        <w:t>Novel studio rekent niet per regio. Wat jij op het palet aflas is de klinische beslissing van dat moment; de analyse per regio gebeurt nadien, centraal.</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pPr>
        <w:spacing w:before="120" w:after="120"/>
        <w:ind w:left="425"/>
        <w:pBdr>
          <w:left w:val="single" w:sz="18" w:space="8" w:color="B3261E"/>
        </w:pBdr>
      </w:pPr>
      <w:r>
        <w:rPr>
          <w:b/>
          <w:color w:val="B3261E"/>
          <w:sz w:val="20"/>
        </w:rPr>
        <w:t xml:space="preserve">▲ LET OP  </w:t>
      </w:r>
      <w:r>
        <w:rPr>
          <w:b/>
        </w:rPr>
        <w:t>Het exportbestand is de eigenlijke meetdata. De schermafbeelding legt jouw beoordeling vast, het bestand de meting.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15. Het systeem afsluiten</w:t>
      </w:r>
    </w:p>
    <w:p>
      <w:r>
        <w:rPr>
          <w:b/>
          <w:i w:val="0"/>
          <w:sz w:val="22"/>
        </w:rPr>
        <w:t>In deze volgorde. Zet je de zenders uit terwijl de software nog verbonden is, dan blijft novel studio op een toestel wachten dat er niet meer is.</w:t>
      </w:r>
    </w:p>
    <w:p>
      <w:pPr>
        <w:ind w:left="397" w:hanging="397"/>
      </w:pPr>
      <w:r>
        <w:rPr>
          <w:b/>
        </w:rPr>
        <w:t xml:space="preserve">48. </w:t>
      </w:r>
      <w:r>
        <w:t>Controleer dat de meting gestopt is: de timer staat stil en de knop ‘Stop’ is niet meer actief.</w:t>
      </w:r>
    </w:p>
    <w:p>
      <w:pPr>
        <w:ind w:left="397" w:hanging="397"/>
      </w:pPr>
      <w:r>
        <w:rPr>
          <w:b/>
        </w:rPr>
        <w:t xml:space="preserve">49. </w:t>
      </w:r>
      <w:r>
        <w:t>Sluit novel studio. Het bestand is al bewaard onder het bezoek waaruit je de meting startte.</w:t>
      </w:r>
    </w:p>
    <w:p>
      <w:pPr>
        <w:ind w:left="397" w:hanging="397"/>
      </w:pPr>
      <w:r>
        <w:rPr>
          <w:b/>
        </w:rPr>
        <w:t xml:space="preserve">50. </w:t>
      </w:r>
      <w:r>
        <w:t>Controleer in de database, in het tabblad pedar Files, dat de meting eronder staat. Sluit dan het bezoek met ‘Close’.</w:t>
      </w:r>
    </w:p>
    <w:p>
      <w:pPr>
        <w:ind w:left="397" w:hanging="397"/>
      </w:pPr>
      <w:r>
        <w:rPr>
          <w:b/>
        </w:rPr>
        <w:t xml:space="preserve">51. </w:t>
      </w:r>
      <w:r>
        <w:t>Ga in novel studio nog even naar ‘Manage Devices’ en verbreek de verbinding met beide toestellen, of sluit het programma zonder meer.</w:t>
      </w:r>
    </w:p>
    <w:p>
      <w:pPr>
        <w:ind w:left="397" w:hanging="397"/>
      </w:pPr>
      <w:r>
        <w:rPr>
          <w:b/>
        </w:rPr>
        <w:t xml:space="preserve">52. </w:t>
      </w:r>
      <w:r>
        <w:t>Zet beide zenders uit met de knop bovenaan, ingedrukt tot de lampjes doven.</w:t>
      </w:r>
    </w:p>
    <w:p>
      <w:pPr>
        <w:ind w:left="397" w:hanging="397"/>
      </w:pPr>
      <w:r>
        <w:rPr>
          <w:b/>
        </w:rPr>
        <w:t xml:space="preserve">53. </w:t>
      </w:r>
      <w:r>
        <w:t>Koppel de zolen los, veeg ze schoon en berg ze vlak op. Nooit vouwen of oprollen.</w:t>
      </w:r>
    </w:p>
    <w:p>
      <w:pPr>
        <w:ind w:left="397" w:hanging="397"/>
      </w:pPr>
      <w:r>
        <w:rPr>
          <w:b/>
        </w:rPr>
        <w:t xml:space="preserve">54. </w:t>
      </w:r>
      <w:r>
        <w:t>Zet de router uit.</w:t>
      </w:r>
    </w:p>
    <w:p>
      <w:pPr>
        <w:ind w:left="397" w:hanging="397"/>
      </w:pPr>
      <w:r>
        <w:rPr>
          <w:b/>
        </w:rPr>
        <w:t xml:space="preserve">55. </w:t>
      </w:r>
      <w:r>
        <w:t>Hang beide zenders aan de lader als de batterij onder de 30% staat.</w:t>
      </w:r>
    </w:p>
    <w:p>
      <w:pPr>
        <w:spacing w:before="120" w:after="120"/>
        <w:ind w:left="425"/>
        <w:pBdr>
          <w:left w:val="single" w:sz="18" w:space="8" w:color="123A5F"/>
        </w:pBdr>
      </w:pPr>
      <w:r>
        <w:rPr>
          <w:b/>
          <w:color w:val="123A5F"/>
          <w:sz w:val="20"/>
        </w:rPr>
        <w:t xml:space="preserve">■ CONTROLEER  </w:t>
      </w:r>
      <w:r>
        <w:rPr>
          <w:b/>
        </w:rPr>
        <w:t>Sluit de database pas af als je zeker weet dat de meting eronder staat. Een bestand dat niet gekoppeld is, is achteraf moeilijk terug te vinden.</w:t>
      </w:r>
    </w:p>
    <w:p>
      <w:pPr>
        <w:keepNext/>
        <w:spacing w:before="200" w:after="80"/>
      </w:pPr>
      <w:r>
        <w:rPr>
          <w:b/>
          <w:color w:val="123A5F"/>
          <w:sz w:val="24"/>
        </w:rPr>
        <w:t>16. Vastgelopen? Zo zet je het terug</w:t>
      </w:r>
    </w:p>
    <w:p>
      <w:r>
        <w:rPr>
          <w:b/>
          <w:i w:val="0"/>
          <w:sz w:val="22"/>
        </w:rPr>
        <w:t>Werk van licht naar zwaar en stop zodra het weer werkt. Ga pas een trede verder als de vorige niet hielp.</w:t>
      </w:r>
    </w:p>
    <w:tbl>
      <w:tblPr>
        <w:tblStyle w:val="TableGrid"/>
        <w:tblW w:type="auto" w:w="0"/>
        <w:jc w:val="left"/>
        <w:tblLook w:firstColumn="1" w:firstRow="1" w:lastColumn="0" w:lastRow="0" w:noHBand="0" w:noVBand="1" w:val="04A0"/>
      </w:tblPr>
      <w:tblGrid>
        <w:gridCol w:w="4513"/>
        <w:gridCol w:w="4513"/>
      </w:tblGrid>
      <w:tr>
        <w:tc>
          <w:tcPr>
            <w:tcW w:type="dxa" w:w="1814"/>
          </w:tcPr>
          <w:p>
            <w:r/>
            <w:r>
              <w:rPr>
                <w:b/>
                <w:color w:val="123A5F"/>
                <w:sz w:val="20"/>
              </w:rPr>
              <w:t>Trede</w:t>
            </w:r>
          </w:p>
        </w:tc>
        <w:tc>
          <w:tcPr>
            <w:tcW w:type="dxa" w:w="6973"/>
          </w:tcPr>
          <w:p>
            <w:r/>
            <w:r>
              <w:rPr>
                <w:b/>
                <w:color w:val="123A5F"/>
                <w:sz w:val="20"/>
              </w:rPr>
              <w:t>Wat je doet</w:t>
            </w:r>
          </w:p>
        </w:tc>
      </w:tr>
      <w:tr>
        <w:tc>
          <w:tcPr>
            <w:tcW w:type="dxa" w:w="1814"/>
          </w:tcPr>
          <w:p>
            <w:r/>
            <w:r>
              <w:rPr>
                <w:sz w:val="20"/>
              </w:rPr>
              <w:t>1. Verbinding</w:t>
            </w:r>
          </w:p>
        </w:tc>
        <w:tc>
          <w:tcPr>
            <w:tcW w:type="dxa" w:w="6973"/>
          </w:tcPr>
          <w:p>
            <w:r/>
            <w:r>
              <w:rPr>
                <w:sz w:val="20"/>
              </w:rPr>
              <w:t>‘Manage Devices’ → ‘Connect’ onder het toestel dat eruit ligt. Daarna ‘Scan Wi-Fi’ als het toestel helemaal niet meer in de lijst staat.</w:t>
            </w:r>
          </w:p>
        </w:tc>
      </w:tr>
      <w:tr>
        <w:tc>
          <w:tcPr>
            <w:tcW w:type="dxa" w:w="1814"/>
          </w:tcPr>
          <w:p>
            <w:r/>
            <w:r>
              <w:rPr>
                <w:sz w:val="20"/>
              </w:rPr>
              <w:t>2. Het toestel</w:t>
            </w:r>
          </w:p>
        </w:tc>
        <w:tc>
          <w:tcPr>
            <w:tcW w:type="dxa" w:w="6973"/>
          </w:tcPr>
          <w:p>
            <w:r/>
            <w:r>
              <w:rPr>
                <w:sz w:val="20"/>
              </w:rPr>
              <w:t>Zet de zender uit met de knop bovenaan, wacht tot de lampjes uit zijn, zet hem weer aan en verbind opnieuw.</w:t>
            </w:r>
          </w:p>
        </w:tc>
      </w:tr>
      <w:tr>
        <w:tc>
          <w:tcPr>
            <w:tcW w:type="dxa" w:w="1814"/>
          </w:tcPr>
          <w:p>
            <w:r/>
            <w:r>
              <w:rPr>
                <w:sz w:val="20"/>
              </w:rPr>
              <w:t>3. De software</w:t>
            </w:r>
          </w:p>
        </w:tc>
        <w:tc>
          <w:tcPr>
            <w:tcW w:type="dxa" w:w="6973"/>
          </w:tcPr>
          <w:p>
            <w:r/>
            <w:r>
              <w:rPr>
                <w:sz w:val="20"/>
              </w:rPr>
              <w:t>Sluit novel studio volledig en start de meting opnieuw vanuit de database.</w:t>
            </w:r>
          </w:p>
        </w:tc>
      </w:tr>
      <w:tr>
        <w:tc>
          <w:tcPr>
            <w:tcW w:type="dxa" w:w="1814"/>
          </w:tcPr>
          <w:p>
            <w:r/>
            <w:r>
              <w:rPr>
                <w:sz w:val="20"/>
              </w:rPr>
              <w:t>4. Het netwerk</w:t>
            </w:r>
          </w:p>
        </w:tc>
        <w:tc>
          <w:tcPr>
            <w:tcW w:type="dxa" w:w="6973"/>
          </w:tcPr>
          <w:p>
            <w:r/>
            <w:r>
              <w:rPr>
                <w:sz w:val="20"/>
              </w:rPr>
              <w:t>Zet de router uit en weer aan. Wacht tot het netwerk plidarRouterE046 weer zichtbaar is en verbind daarna de zenders opnieuw.</w:t>
            </w:r>
          </w:p>
        </w:tc>
      </w:tr>
      <w:tr>
        <w:tc>
          <w:tcPr>
            <w:tcW w:type="dxa" w:w="1814"/>
          </w:tcPr>
          <w:p>
            <w:r/>
            <w:r>
              <w:rPr>
                <w:sz w:val="20"/>
              </w:rPr>
              <w:t>5. De laptop</w:t>
            </w:r>
          </w:p>
        </w:tc>
        <w:tc>
          <w:tcPr>
            <w:tcW w:type="dxa" w:w="6973"/>
          </w:tcPr>
          <w:p>
            <w:r/>
            <w:r>
              <w:rPr>
                <w:sz w:val="20"/>
              </w:rPr>
              <w:t>Herstart de laptop. Start daarna eerst de database, dan pas de meting.</w:t>
            </w:r>
          </w:p>
        </w:tc>
      </w:tr>
    </w:tbl>
    <w:p/>
    <w:p>
      <w:pPr>
        <w:spacing w:before="120" w:after="120"/>
        <w:ind w:left="425"/>
        <w:pBdr>
          <w:left w:val="single" w:sz="18" w:space="8" w:color="B3261E"/>
        </w:pBdr>
      </w:pPr>
      <w:r>
        <w:rPr>
          <w:b/>
          <w:color w:val="B3261E"/>
          <w:sz w:val="20"/>
        </w:rPr>
        <w:t xml:space="preserve">▲ LET OP  </w:t>
      </w:r>
      <w:r>
        <w:rPr>
          <w:b/>
        </w:rPr>
        <w:t>Na élke reset: opnieuw nulstellen met de zolen onbelast op tafel, en béide condities overdoen. Een nieuwe nulstelling geeft een nieuwe nullijn.</w:t>
      </w:r>
    </w:p>
    <w:p>
      <w:pPr>
        <w:spacing w:before="120" w:after="120"/>
        <w:ind w:left="425"/>
        <w:pBdr>
          <w:left w:val="single" w:sz="18" w:space="8" w:color="B3261E"/>
        </w:pBdr>
      </w:pPr>
      <w:r>
        <w:rPr>
          <w:b/>
          <w:color w:val="B3261E"/>
          <w:sz w:val="20"/>
        </w:rPr>
        <w:t xml:space="preserve">▲ LET OP  </w:t>
      </w:r>
      <w:r>
        <w:rPr>
          <w:b/>
        </w:rPr>
        <w:t>Verder gaat niet zonder novel. In onze handleidingen staat geen fabrieksreset van de zender beschreven, en probeer er geen uit: een zender zonder configuratiebestanden is onbruikbaar tot novel ze opnieuw laadt. Noteer wat er gebeurde en meld het.</w:t>
      </w:r>
    </w:p>
    <w:p>
      <w:pPr>
        <w:keepNext/>
        <w:spacing w:before="200" w:after="80"/>
      </w:pPr>
      <w:r>
        <w:rPr>
          <w:b/>
          <w:color w:val="123A5F"/>
          <w:sz w:val="24"/>
        </w:rPr>
        <w:t>17.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18.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12.</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14),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13); hoe het geëxporteerde meetbestand bij het studieteam raakt nog niet.</w:t>
      </w:r>
    </w:p>
    <w:p>
      <w:pPr>
        <w:ind w:left="397" w:hanging="397"/>
      </w:pPr>
      <w:r>
        <w:rPr>
          <w:b/>
        </w:rPr>
        <w:t xml:space="preserve">5. </w:t>
      </w:r>
      <w:r>
        <w:t>Het blad ‘Visit’ van de Pressure Monitoring Tool kent nog zes regio’s per voet: de middenvoet is niet gesplitst en tenen 2-5 ontbreken, in het overzicht, in de exportblokken én in de hulpkolommen van de grafieken. Om te bouwen zodra het masker de zestien velden oplevert; het blad ‘Meting’ heeft de acht al.</w:t>
      </w:r>
    </w:p>
    <w:p>
      <w:pPr>
        <w:ind w:left="397" w:hanging="397"/>
      </w:pPr>
      <w:r>
        <w:rPr>
          <w:b/>
        </w:rPr>
        <w:t xml:space="preserve">6. </w:t>
      </w:r>
      <w:r>
        <w:t>Of er één centrale database komt of één per centrum. Dát er vanuit de database gemeten wordt ligt vast (hoofdstuk 3 en 10), maar Sint_Jan_Paradise_Project draait voorlopig lokaal: hoe de vijf andere centra erin terechtkomen en hoe de back-up loopt, is nog niet beslist.</w:t>
      </w:r>
    </w:p>
    <w:p>
      <w:pPr>
        <w:ind w:left="397" w:hanging="397"/>
      </w:pPr>
      <w:r>
        <w:rPr>
          <w:b/>
        </w:rPr>
        <w:t xml:space="preserve">7.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