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per arm, 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vijftien events voor beide armen.</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vier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w:t>
      </w:r>
      <w:r>
        <w:rPr>
          <w:rFonts w:ascii="Segoe UI" w:hAnsi="Segoe UI" w:eastAsia="Segoe UI"/>
          <w:b/>
          <w:i w:val="0"/>
          <w:color w:val="1B2630"/>
          <w:sz w:val="19"/>
        </w:rPr>
        <w:t>Repeat Entire Event</w:t>
      </w:r>
      <w:r>
        <w:rPr>
          <w:rFonts w:ascii="Segoe UI" w:hAnsi="Segoe UI" w:eastAsia="Segoe UI"/>
          <w:b w:val="0"/>
          <w:i w:val="0"/>
          <w:color w:val="1B2630"/>
          <w:sz w:val="19"/>
        </w:rPr>
        <w:t>, in beide armen.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De velden per instrument bouwen</w:t>
      </w:r>
    </w:p>
    <w:p>
      <w:pPr>
        <w:spacing w:before="0" w:after="80"/>
      </w:pPr>
      <w:r>
        <w:rPr>
          <w:rFonts w:ascii="Segoe UI" w:hAnsi="Segoe UI" w:eastAsia="Segoe UI"/>
          <w:b w:val="0"/>
          <w:i w:val="0"/>
          <w:color w:val="1B2630"/>
          <w:sz w:val="19"/>
        </w:rPr>
        <w:t>De eenendertig klinische instrumenten dragen nu alleen een datumveld, een invoerdersveld en een markering. Bouw ze uit vanuit het bijhorende eCRF, en verwijder telkens de markering zodra een formulier af is. Dit is het grote werk en hoeft niet in één keer.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11 kun je in één dag doen; ze hangen niet af van wat er nog openstaat. Stap 12 wacht alleen nog op de vraag welke eCRF-set officieel is.</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40 instrumenten, 30 events, 208 mappingregels, 271 velden in de dictionary, geen variabelenaam boven 26 tekens, en geen dode verwijzing.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