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68F48973">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b w:val="0"/>
              </w:rPr>
              <w:t xml:space="preserve">The </w:t>
            </w:r>
            <w:r w:rsidRPr="00273BD4">
              <w:rPr>
                <w:rFonts w:ascii="Calibri" w:hAnsi="Calibri" w:cs="Calibri"/>
                <w:b/>
                <w:bCs/>
              </w:rPr>
              <w:t>primary endpoint</w:t>
            </w:r>
            <w:r w:rsidR="008D5F13" w:rsidRPr="00273BD4">
              <w:rPr>
                <w:rFonts w:ascii="Calibri" w:hAnsi="Calibri" w:cs="Calibri"/>
                <w:b w:val="0"/>
              </w:rPr>
              <w:t xml:space="preserve"> is the incidence of foot ulceration over an 18-month follow-up period. The </w:t>
            </w:r>
            <w:r w:rsidRPr="00273BD4">
              <w:rPr>
                <w:rFonts w:ascii="Calibri" w:hAnsi="Calibri" w:cs="Calibri"/>
                <w:b/>
              </w:rPr>
              <w:t>secondary endpoints</w:t>
            </w:r>
            <w:r w:rsidR="008D5F13" w:rsidRPr="00273BD4">
              <w:rPr>
                <w:rFonts w:ascii="Calibri" w:hAnsi="Calibri" w:cs="Calibri"/>
                <w:b w:val="0"/>
              </w:rPr>
              <w:t xml:space="preserve"> are: footwear adherence to prescribed protective footwear, assessed every 3 months up to 18 months, which also serves as the pre-specified mediator; cost-effectiveness of the PARADISE intervention compared with usual care over the 18-month follow-up period; and process evaluation outcomes related to implementation, including fidelity, dose, reach, adaptations, and quality of delivery, assessed longitudinally throughout the study.</w:t>
            </w:r>
            <w:r w:rsidRPr="00273BD4">
              <w:rPr>
                <w:rFonts w:ascii="Calibri" w:hAnsi="Calibri" w:cs="Calibri"/>
              </w:rPr>
            </w:r>
            <w:r w:rsidR="008D5F13" w:rsidRPr="00273BD4">
              <w:rPr>
                <w:rFonts w:ascii="Calibri" w:hAnsi="Calibri" w:cs="Calibri"/>
              </w:rPr>
            </w:r>
            <w:r w:rsidRPr="00273BD4">
              <w:rPr>
                <w:rFonts w:ascii="Calibri" w:hAnsi="Calibri" w:cs="Calibri"/>
              </w:rPr>
            </w:r>
            <w:r w:rsidRPr="00273BD4">
              <w:rPr>
                <w:rFonts w:ascii="Calibri" w:hAnsi="Calibri" w:cs="Calibri"/>
                <w:b/>
                <w:bCs/>
              </w:rPr>
            </w:r>
            <w:r w:rsidRPr="00273BD4">
              <w:rPr>
                <w:rFonts w:ascii="Calibri" w:hAnsi="Calibri" w:cs="Calibri"/>
              </w:rPr>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(including the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14:paraId="132BB3F6" w14:textId="77777777" w:rsidR="007738CF" w:rsidRDefault="00000000">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3.2.2. Primary endpoint</w:t>
      </w:r>
      <w:r w:rsidR="0085662E" w:rsidRPr="00273BD4"/>
      <w:r w:rsidRPr="00273BD4"/>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3.2.3.1. Footwear adherence — secondary endpoint and pre-specified mediator</w:t>
      </w:r>
      <w:r w:rsidR="0085662E" w:rsidRPr="00273BD4">
        <w:rPr>
          <w:rFonts w:ascii="Calibri" w:eastAsiaTheme="minorEastAsia" w:hAnsi="Calibri" w:cs="Calibri"/>
          <w:b/>
          <w:bCs/>
          <w:iCs/>
        </w:rPr>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Adherence to footwear will be defined as wearing their sensor-equipped footwear for 80% of the average daily waking time — the period between the two nights, established from the baseline MoveMonitor profile — and this for 7 days per week. Footwear adherence will be calculated throughout the 18-month study duration and will be read-out every three months, with the primary analysis timepoint at 12 months. Adherence is not a primary endpoint: it is reported as a secondary endpoint and is the pre-specified mediator through which the intervention is expected to act on ulcer recurrence. It therefore carries no success criterion of its own.</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 For footwear adherence as a secondary patient-related outcome measure, we expect 71% (SD 25%) adherence in Usual Care at 18 months based on findings from previous research. We expect an increase in footwear adherence in the Optimal Care group to a level of 85% at 18 months, through the effect of the structured education and behavioural support intervention. With α = 0.05 (two-sided) and power = 80%, enrolment ratio of 1, power calculations show that 100 participants are required (50 per study group). Including a drop-out rate of 15%, this leads to 115 participants for this endpoint. The recruitment target of the trial is set by the primary endpoint (144 participants), so this secondary endpoint is adequately powered.</w:t>
      </w:r>
      <w:r w:rsidRPr="6898190B">
        <w:rPr>
          <w:rFonts w:ascii="Calibri" w:hAnsi="Calibri" w:cs="Calibri"/>
        </w:rPr>
      </w:r>
      <w:r w:rsidRPr="6898190B">
        <w:rPr>
          <w:rFonts w:ascii="Calibri" w:hAnsi="Calibri" w:cs="Calibri"/>
          <w:b/>
          <w:bCs/>
        </w:rPr>
      </w:r>
      <w:r w:rsidRPr="6898190B">
        <w:rPr>
          <w:rFonts w:ascii="Calibri" w:hAnsi="Calibri" w:cs="Calibri"/>
        </w:rPr>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r>
      <w:r w:rsidR="00CE447D">
        <w:rPr>
          <w:rFonts w:ascii="Calibri" w:hAnsi="Calibri" w:cs="Calibri"/>
        </w:rPr>
      </w:r>
      <w:r w:rsidRPr="6898190B">
        <w:rPr>
          <w:rFonts w:ascii="Calibri" w:hAnsi="Calibri" w:cs="Calibri"/>
        </w:rPr>
      </w:r>
      <w:r w:rsidRPr="6898190B">
        <w:rPr>
          <w:rFonts w:ascii="Calibri" w:hAnsi="Calibri" w:cs="Calibri"/>
          <w:b/>
          <w:bCs/>
        </w:rPr>
      </w:r>
      <w:r w:rsidRPr="6898190B">
        <w:rPr>
          <w:rFonts w:ascii="Calibri" w:hAnsi="Calibri" w:cs="Calibri"/>
        </w:rPr>
      </w:r>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45a </w:t>
      </w:r>
      <w:r w:rsidRPr="00A64345">
        <w:rPr>
          <w:rFonts w:ascii="Calibri" w:hAnsi="Calibri" w:cs="Calibri"/>
        </w:rPr>
        <w:t>bi-weekly up to month 3</w:t>
      </w:r>
      <w:r w:rsidRPr="0003215A">
        <w:rPr>
          <w:rFonts w:ascii="Calibri" w:hAnsi="Calibri" w:cs="Calibri"/>
          <w:b/>
          <w:bCs/>
          <w:color w:val="EE0000"/>
        </w:rPr>
        <w:t>;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45b, </w:t>
      </w:r>
      <w:r w:rsidRPr="00A64345">
        <w:rPr>
          <w:rFonts w:ascii="Calibri" w:hAnsi="Calibri" w:cs="Calibri"/>
        </w:rPr>
        <w:t>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(including the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w:t>
      </w:r>
      <w:r w:rsidRPr="0097545F">
        <w:rPr>
          <w:rFonts w:ascii="Calibri" w:hAnsi="Calibri" w:cs="Calibri"/>
        </w:rPr>
        <w:t xml:space="preserve">Original signed Informed Consent Forms (ICFs) will be retained and archived in the </w:t>
      </w:r>
      <w:r w:rsidRPr="0097545F">
        <w:rPr>
          <w:rFonts w:ascii="Calibri" w:hAnsi="Calibri" w:cs="Calibri"/>
        </w:rPr>
        <w:lastRenderedPageBreak/>
        <w:t>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lastRenderedPageBreak/>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33F9B72B" w14:textId="77777777" w:rsidR="007738CF" w:rsidRDefault="00000000">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w:t>
      </w:r>
      <w:r w:rsidRPr="00532DE3">
        <w:rPr>
          <w:rFonts w:ascii="Calibri" w:hAnsi="Calibri" w:cs="Calibri"/>
          <w:color w:val="000000" w:themeColor="text1"/>
        </w:rPr>
        <w:lastRenderedPageBreak/>
        <w:t>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0DF4C5A4" w14:textId="77777777" w:rsidR="007738CF" w:rsidRDefault="00000000">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seven-day profile will be used to determine when a participant gets up and goes to bed. An average daily waking time — the period between the two nights —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that window. Waking time is used rather than weight-bearing time because the compliance sensor and the activity monitor report per calendar day and are not epoch-synchronised</w:t>
      </w:r>
      <w:r w:rsidRPr="00273BD4">
        <w:rPr>
          <w:rFonts w:ascii="Calibri" w:hAnsi="Calibri" w:cs="Calibri"/>
          <w:b/>
          <w:bCs/>
        </w:rPr>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The effectiveness of the intervention for the primary endpoint (foot ulcer recurrence) will be evaluated as the percentage of participants experiencing a recurring foot ulcer (any type, plantar, or at high-risk sites), using chi-square analysis. The occurrence of ulcer recurrence over time will be examined using log-rank tests and illustrated with Kaplan–Meier curves, accounting for mortality. Footwear adherence is analysed as a secondary endpoint and as the pre-specified mediator. The between-group difference in adherence will be tested with an independent samples Student’s t-test, assuming the data follow a normal distribution. The mediating role of adherence in the effect of the intervention on ulcer recurrence will be examined in a pre-specified mediation analysis, complemented by a subgroup analysis in which patients are divided into high and low adherence groups on the pre-defined 80% threshold (average adherence over 18 months ≥ 80%).</w:t>
      </w:r>
      <w:r w:rsidRPr="00273BD4">
        <w:rPr>
          <w:rFonts w:ascii="Calibri" w:hAnsi="Calibri" w:cs="Calibri"/>
          <w:b/>
          <w:bCs/>
        </w:rPr>
      </w:r>
      <w:r w:rsidRPr="00273BD4">
        <w:rPr>
          <w:rFonts w:ascii="Calibri" w:hAnsi="Calibri" w:cs="Calibri"/>
        </w:rPr>
      </w:r>
      <w:r w:rsidRPr="00881DB4">
        <w:rPr>
          <w:rFonts w:ascii="Calibri" w:hAnsi="Calibri" w:cs="Calibri"/>
        </w:rPr>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14:paraId="024ECFF7" w14:textId="77777777" w:rsidR="007738CF" w:rsidRDefault="00000000">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Pr="001B0A94" w:rsidRDefault="00000000">
      <w:pPr>
        <w:pStyle w:val="Lijstalinea"/>
        <w:rPr>
          <w:color w:val="EE0000"/>
        </w:rPr>
      </w:pPr>
      <w:r w:rsidRPr="001B0A94">
        <w:rPr>
          <w:color w:val="EE0000"/>
        </w:rP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A6550D">
        <w:rPr>
          <w:color w:val="000000"/>
        </w:rPr>
        <w:t>1. Bus SA, Sacco ICN, Monteiro-Soares M, Raspovic A, Paton J, Rasmussen A, et al. 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A6550D">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sidRPr="00A6550D">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van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Pr="00A6550D" w:rsidRDefault="00000000">
      <w:pPr>
        <w:rPr>
          <w:lang w:val="nl-BE"/>
        </w:rPr>
      </w:pPr>
      <w:r>
        <w:rPr>
          <w:color w:val="000000"/>
        </w:rPr>
        <w:t xml:space="preserve">7. Tchero H, Kangambega P, Lin L, Mukisi-Mukaza M, Brunet-Houdard S, Briatte C, et al. Cost of diabetic foot in France, Spain, Italy, Germany and United Kingdom: A systematic review. </w:t>
      </w:r>
      <w:r w:rsidRPr="00A6550D">
        <w:rPr>
          <w:color w:val="000000"/>
          <w:lang w:val="nl-BE"/>
        </w:rPr>
        <w:t>Annales d'Endocrinologie. 2018;79(2):67-74. doi:10.1016/j.ando.2017.11.005</w:t>
      </w:r>
    </w:p>
    <w:p w14:paraId="30808F09" w14:textId="77777777" w:rsidR="00AC160C" w:rsidRDefault="00000000">
      <w:r w:rsidRPr="00A6550D">
        <w:rPr>
          <w:color w:val="000000"/>
          <w:lang w:val="nl-BE"/>
        </w:rPr>
        <w:t xml:space="preserve">8. Van Acker K, Oleen-Burkey M, De Decker L, Vanmaele R, Van Schil P, Matricali G, et al. </w:t>
      </w:r>
      <w:r>
        <w:rPr>
          <w:color w:val="000000"/>
        </w:rPr>
        <w:t>Cost and resource utilization for prevention and treatment of foot lesions in a diabetic foot clinic in Belgium. Diabetes Res Clin Pract. 2000;50(2):87-95. doi:10.1016/s0168-8227(00)00157-1</w:t>
      </w:r>
    </w:p>
    <w:p w14:paraId="4EFC1DDE" w14:textId="77777777" w:rsidR="00AC160C" w:rsidRDefault="00000000">
      <w:r>
        <w:rPr>
          <w:color w:val="000000"/>
        </w:rPr>
        <w:t>9. van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van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Van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De Bruyne S, et al. </w:t>
      </w:r>
      <w:r w:rsidRPr="00A6550D">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A6550D">
        <w:rPr>
          <w:color w:val="000000"/>
          <w:lang w:val="nl-BE"/>
        </w:rPr>
        <w:t>PLoS One. 2014;9(6).</w:t>
      </w:r>
    </w:p>
    <w:p w14:paraId="6DA5A429" w14:textId="77777777" w:rsidR="00AC160C" w:rsidRDefault="00000000">
      <w:r w:rsidRPr="00317505">
        <w:rPr>
          <w:color w:val="000000"/>
          <w:lang w:val="nl-BE"/>
        </w:rPr>
        <w:t xml:space="preserve">16. Bus S, van Netten J, Hinchliffe R, Apelqvist J, Lipsky B, Schaper N, et al. </w:t>
      </w:r>
      <w:r w:rsidRPr="00A6550D">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A6550D">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sidRPr="00A6550D">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de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van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van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van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A6550D">
        <w:rPr>
          <w:color w:val="000000"/>
          <w:lang w:val="nl-BE"/>
        </w:rPr>
        <w:t>Implement Sci. 2011;6:42. doi:10.1186/1748-5908-6-42</w:t>
      </w:r>
    </w:p>
    <w:p w14:paraId="1BE548ED" w14:textId="77777777" w:rsidR="00AC160C" w:rsidRDefault="00000000">
      <w:r w:rsidRPr="00317505">
        <w:rPr>
          <w:color w:val="000000"/>
          <w:lang w:val="nl-BE"/>
        </w:rPr>
        <w:t xml:space="preserve">32. Perrin BM, van Netten JJ, aan de Stegge WB, Busch-Westbroek TE, Bus SA. </w:t>
      </w:r>
      <w:r w:rsidRPr="00A6550D">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van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A6550D">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sidRPr="00A6550D">
        <w:rPr>
          <w:color w:val="000000"/>
          <w:lang w:val="nl-BE"/>
        </w:rPr>
        <w:t xml:space="preserve">37. Jeffcoate WJ, Bus SA, Game FL, Hinchliffe RJ, Price PE, Schaper NC. </w:t>
      </w:r>
      <w:r>
        <w:rPr>
          <w:color w:val="000000"/>
        </w:rPr>
        <w:t>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Van Den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van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EE9A6" w14:textId="77777777" w:rsidR="003A32C8" w:rsidRDefault="003A32C8" w:rsidP="009D7BE7">
      <w:pPr>
        <w:spacing w:after="0" w:line="240" w:lineRule="auto"/>
      </w:pPr>
      <w:r>
        <w:separator/>
      </w:r>
    </w:p>
  </w:endnote>
  <w:endnote w:type="continuationSeparator" w:id="0">
    <w:p w14:paraId="29145FC9" w14:textId="77777777" w:rsidR="003A32C8" w:rsidRDefault="003A32C8"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17851" w14:textId="77777777" w:rsidR="003A32C8" w:rsidRDefault="003A32C8" w:rsidP="009D7BE7">
      <w:pPr>
        <w:spacing w:after="0" w:line="240" w:lineRule="auto"/>
      </w:pPr>
      <w:r>
        <w:separator/>
      </w:r>
    </w:p>
  </w:footnote>
  <w:footnote w:type="continuationSeparator" w:id="0">
    <w:p w14:paraId="5E88382E" w14:textId="77777777" w:rsidR="003A32C8" w:rsidRDefault="003A32C8"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0A94"/>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32C8"/>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738CF"/>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4345"/>
    <w:rsid w:val="00A6550D"/>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48B"/>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233D"/>
    <w:rsid w:val="00E75237"/>
    <w:rsid w:val="00EA218A"/>
    <w:rsid w:val="00EE798F"/>
    <w:rsid w:val="00FD5F06"/>
    <w:rsid w:val="00FF148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19523</Words>
  <Characters>107382</Characters>
  <Application>Microsoft Office Word</Application>
  <DocSecurity>0</DocSecurity>
  <Lines>894</Lines>
  <Paragraphs>253</Paragraphs>
  <ScaleCrop>false</ScaleCrop>
  <Company/>
  <LinksUpToDate>false</LinksUpToDate>
  <CharactersWithSpaces>126652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108</cp:revision>
  <dcterms:created xsi:type="dcterms:W3CDTF">2026-04-01T07:04:00Z</dcterms:created>
  <dcterms:modified xsi:type="dcterms:W3CDTF">2026-08-05T12:25:00Z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