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instrumenten.csv, events.csv, instrument_event_mapping.csv en data_dictionary_skelet.csv.</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Volgorde van opbouw, en waar je veilig fouten maakt</w:t>
      </w:r>
    </w:p>
    <w:p>
      <w:pPr>
        <w:spacing w:before="0" w:after="80"/>
      </w:pPr>
      <w:r>
        <w:rPr>
          <w:rFonts w:ascii="Segoe UI" w:hAnsi="Segoe UI" w:eastAsia="Segoe UI"/>
          <w:b w:val="0"/>
          <w:i w:val="0"/>
          <w:color w:val="1B2630"/>
          <w:sz w:val="19"/>
        </w:rPr>
        <w:t>Een nieuw REDCap-project staat in **Development**-status,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680"/>
            <w:shd w:val="clear" w:color="auto" w:fill="1D8DB0"/>
          </w:tcPr>
          <w:p>
            <w:pPr>
              <w:spacing w:before="30" w:after="30" w:line="252" w:lineRule="auto"/>
            </w:pPr>
            <w:r/>
            <w:r>
              <w:rPr>
                <w:rFonts w:ascii="Segoe UI" w:hAnsi="Segoe UI" w:eastAsia="Segoe UI"/>
                <w:b/>
                <w:i w:val="0"/>
                <w:color w:val="FFFFFF"/>
                <w:sz w:val="15"/>
              </w:rPr>
              <w:t>Stap</w:t>
            </w:r>
          </w:p>
        </w:tc>
        <w:tc>
          <w:tcPr>
            <w:tcW w:type="dxa" w:w="5783"/>
            <w:shd w:val="clear" w:color="auto" w:fill="1D8DB0"/>
          </w:tcPr>
          <w:p>
            <w:pPr>
              <w:spacing w:before="30" w:after="30" w:line="252" w:lineRule="auto"/>
            </w:pPr>
            <w:r/>
            <w:r>
              <w:rPr>
                <w:rFonts w:ascii="Segoe UI" w:hAnsi="Segoe UI" w:eastAsia="Segoe UI"/>
                <w:b/>
                <w:i w:val="0"/>
                <w:color w:val="FFFFFF"/>
                <w:sz w:val="15"/>
              </w:rPr>
              <w:t>Wat</w:t>
            </w:r>
          </w:p>
        </w:tc>
        <w:tc>
          <w:tcPr>
            <w:tcW w:type="dxa" w:w="3402"/>
            <w:shd w:val="clear" w:color="auto" w:fill="1D8DB0"/>
          </w:tcPr>
          <w:p>
            <w:pPr>
              <w:spacing w:before="30" w:after="30" w:line="252" w:lineRule="auto"/>
            </w:pPr>
            <w:r/>
            <w:r>
              <w:rPr>
                <w:rFonts w:ascii="Segoe UI" w:hAnsi="Segoe UI" w:eastAsia="Segoe UI"/>
                <w:b/>
                <w:i w:val="0"/>
                <w:color w:val="FFFFFF"/>
                <w:sz w:val="15"/>
              </w:rPr>
              <w:t>Waar in REDCap</w:t>
            </w:r>
          </w:p>
        </w:tc>
      </w:tr>
      <w:tr>
        <w:tc>
          <w:tcPr>
            <w:tcW w:type="dxa" w:w="680"/>
          </w:tcPr>
          <w:p>
            <w:pPr>
              <w:spacing w:before="30" w:after="30" w:line="252" w:lineRule="auto"/>
            </w:pPr>
            <w:r/>
            <w:r>
              <w:rPr>
                <w:rFonts w:ascii="Segoe UI" w:hAnsi="Segoe UI" w:eastAsia="Segoe UI"/>
                <w:b w:val="0"/>
                <w:i w:val="0"/>
                <w:color w:val="1B2630"/>
                <w:sz w:val="15"/>
              </w:rPr>
              <w:t>1</w:t>
            </w:r>
          </w:p>
        </w:tc>
        <w:tc>
          <w:tcPr>
            <w:tcW w:type="dxa" w:w="5783"/>
          </w:tcPr>
          <w:p>
            <w:pPr>
              <w:spacing w:before="30" w:after="30" w:line="252" w:lineRule="auto"/>
            </w:pPr>
            <w:r/>
            <w:r>
              <w:rPr>
                <w:rFonts w:ascii="Segoe UI" w:hAnsi="Segoe UI" w:eastAsia="Segoe UI"/>
                <w:b w:val="0"/>
                <w:i w:val="0"/>
                <w:color w:val="1B2630"/>
                <w:sz w:val="15"/>
              </w:rPr>
              <w:t>Project aanmaken als longitudinaal, met armen ingeschakeld. Blijft in Development.</w:t>
            </w:r>
          </w:p>
        </w:tc>
        <w:tc>
          <w:tcPr>
            <w:tcW w:type="dxa" w:w="3402"/>
          </w:tcPr>
          <w:p>
            <w:pPr>
              <w:spacing w:before="30" w:after="30" w:line="252" w:lineRule="auto"/>
            </w:pPr>
            <w:r/>
            <w:r>
              <w:rPr>
                <w:rFonts w:ascii="Segoe UI" w:hAnsi="Segoe UI" w:eastAsia="Segoe UI"/>
                <w:b w:val="0"/>
                <w:i w:val="0"/>
                <w:color w:val="1B2630"/>
                <w:sz w:val="15"/>
              </w:rPr>
              <w:t>Project Setup</w:t>
            </w:r>
          </w:p>
        </w:tc>
      </w:tr>
      <w:tr>
        <w:tc>
          <w:tcPr>
            <w:tcW w:type="dxa" w:w="680"/>
          </w:tcPr>
          <w:p>
            <w:pPr>
              <w:spacing w:before="30" w:after="30" w:line="252" w:lineRule="auto"/>
            </w:pPr>
            <w:r/>
            <w:r>
              <w:rPr>
                <w:rFonts w:ascii="Segoe UI" w:hAnsi="Segoe UI" w:eastAsia="Segoe UI"/>
                <w:b w:val="0"/>
                <w:i w:val="0"/>
                <w:color w:val="1B2630"/>
                <w:sz w:val="15"/>
              </w:rPr>
              <w:t>2</w:t>
            </w:r>
          </w:p>
        </w:tc>
        <w:tc>
          <w:tcPr>
            <w:tcW w:type="dxa" w:w="5783"/>
          </w:tcPr>
          <w:p>
            <w:pPr>
              <w:spacing w:before="30" w:after="30" w:line="252" w:lineRule="auto"/>
            </w:pPr>
            <w:r/>
            <w:r>
              <w:rPr>
                <w:rFonts w:ascii="Segoe UI" w:hAnsi="Segoe UI" w:eastAsia="Segoe UI"/>
                <w:b w:val="0"/>
                <w:i w:val="0"/>
                <w:color w:val="1B2630"/>
                <w:sz w:val="15"/>
              </w:rPr>
              <w:t>Twee armen aanmaken: Usual Care en Optimal Care.</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3</w:t>
            </w:r>
          </w:p>
        </w:tc>
        <w:tc>
          <w:tcPr>
            <w:tcW w:type="dxa" w:w="5783"/>
          </w:tcPr>
          <w:p>
            <w:pPr>
              <w:spacing w:before="30" w:after="30" w:line="252" w:lineRule="auto"/>
            </w:pPr>
            <w:r/>
            <w:r>
              <w:rPr>
                <w:rFonts w:ascii="Segoe UI" w:hAnsi="Segoe UI" w:eastAsia="Segoe UI"/>
                <w:b w:val="0"/>
                <w:i w:val="0"/>
                <w:color w:val="1B2630"/>
                <w:sz w:val="15"/>
              </w:rPr>
              <w:t>De veertien events per arm aanmaken, met offsets.</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4</w:t>
            </w:r>
          </w:p>
        </w:tc>
        <w:tc>
          <w:tcPr>
            <w:tcW w:type="dxa" w:w="5783"/>
          </w:tcPr>
          <w:p>
            <w:pPr>
              <w:spacing w:before="30" w:after="30" w:line="252" w:lineRule="auto"/>
            </w:pPr>
            <w:r/>
            <w:r>
              <w:rPr>
                <w:rFonts w:ascii="Segoe UI" w:hAnsi="Segoe UI" w:eastAsia="Segoe UI"/>
                <w:b w:val="0"/>
                <w:i w:val="0"/>
                <w:color w:val="1B2630"/>
                <w:sz w:val="15"/>
              </w:rPr>
              <w:t>Unieke eventnamen vergelijken met events.csv en verschillen noteren.</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5</w:t>
            </w:r>
          </w:p>
        </w:tc>
        <w:tc>
          <w:tcPr>
            <w:tcW w:type="dxa" w:w="5783"/>
          </w:tcPr>
          <w:p>
            <w:pPr>
              <w:spacing w:before="30" w:after="30" w:line="252" w:lineRule="auto"/>
            </w:pPr>
            <w:r/>
            <w:r>
              <w:rPr>
                <w:rFonts w:ascii="Segoe UI" w:hAnsi="Segoe UI" w:eastAsia="Segoe UI"/>
                <w:b w:val="0"/>
                <w:i w:val="0"/>
                <w:color w:val="1B2630"/>
                <w:sz w:val="15"/>
              </w:rPr>
              <w:t>Dagboek, Ulcus en AE SAE als herhalend markeren.</w:t>
            </w:r>
          </w:p>
        </w:tc>
        <w:tc>
          <w:tcPr>
            <w:tcW w:type="dxa" w:w="3402"/>
          </w:tcPr>
          <w:p>
            <w:pPr>
              <w:spacing w:before="30" w:after="30" w:line="252" w:lineRule="auto"/>
            </w:pPr>
            <w:r/>
            <w:r>
              <w:rPr>
                <w:rFonts w:ascii="Segoe UI" w:hAnsi="Segoe UI" w:eastAsia="Segoe UI"/>
                <w:b w:val="0"/>
                <w:i w:val="0"/>
                <w:color w:val="1B2630"/>
                <w:sz w:val="15"/>
              </w:rPr>
              <w:t>Repeating Instruments and Events</w:t>
            </w:r>
          </w:p>
        </w:tc>
      </w:tr>
      <w:tr>
        <w:tc>
          <w:tcPr>
            <w:tcW w:type="dxa" w:w="680"/>
          </w:tcPr>
          <w:p>
            <w:pPr>
              <w:spacing w:before="30" w:after="30" w:line="252" w:lineRule="auto"/>
            </w:pPr>
            <w:r/>
            <w:r>
              <w:rPr>
                <w:rFonts w:ascii="Segoe UI" w:hAnsi="Segoe UI" w:eastAsia="Segoe UI"/>
                <w:b w:val="0"/>
                <w:i w:val="0"/>
                <w:color w:val="1B2630"/>
                <w:sz w:val="15"/>
              </w:rPr>
              <w:t>6</w:t>
            </w:r>
          </w:p>
        </w:tc>
        <w:tc>
          <w:tcPr>
            <w:tcW w:type="dxa" w:w="5783"/>
          </w:tcPr>
          <w:p>
            <w:pPr>
              <w:spacing w:before="30" w:after="30" w:line="252" w:lineRule="auto"/>
            </w:pPr>
            <w:r/>
            <w:r>
              <w:rPr>
                <w:rFonts w:ascii="Segoe UI" w:hAnsi="Segoe UI" w:eastAsia="Segoe UI"/>
                <w:b w:val="0"/>
                <w:i w:val="0"/>
                <w:color w:val="1B2630"/>
                <w:sz w:val="15"/>
              </w:rPr>
              <w:t>data_dictionary_skelet.csv importeren. Dat maakt alle 36 instrumenten aan, elk met een datumveld, een invoerdersveld en een zichtbare markering dat de inhoud nog volgt.</w:t>
            </w:r>
          </w:p>
        </w:tc>
        <w:tc>
          <w:tcPr>
            <w:tcW w:type="dxa" w:w="3402"/>
          </w:tcPr>
          <w:p>
            <w:pPr>
              <w:spacing w:before="30" w:after="30" w:line="252" w:lineRule="auto"/>
            </w:pPr>
            <w:r/>
            <w:r>
              <w:rPr>
                <w:rFonts w:ascii="Segoe UI" w:hAnsi="Segoe UI" w:eastAsia="Segoe UI"/>
                <w:b w:val="0"/>
                <w:i w:val="0"/>
                <w:color w:val="1B2630"/>
                <w:sz w:val="15"/>
              </w:rPr>
              <w:t>Data Dictionary upload</w:t>
            </w:r>
          </w:p>
        </w:tc>
      </w:tr>
      <w:tr>
        <w:tc>
          <w:tcPr>
            <w:tcW w:type="dxa" w:w="680"/>
          </w:tcPr>
          <w:p>
            <w:pPr>
              <w:spacing w:before="30" w:after="30" w:line="252" w:lineRule="auto"/>
            </w:pPr>
            <w:r/>
            <w:r>
              <w:rPr>
                <w:rFonts w:ascii="Segoe UI" w:hAnsi="Segoe UI" w:eastAsia="Segoe UI"/>
                <w:b w:val="0"/>
                <w:i w:val="0"/>
                <w:color w:val="1B2630"/>
                <w:sz w:val="15"/>
              </w:rPr>
              <w:t>7</w:t>
            </w:r>
          </w:p>
        </w:tc>
        <w:tc>
          <w:tcPr>
            <w:tcW w:type="dxa" w:w="5783"/>
          </w:tcPr>
          <w:p>
            <w:pPr>
              <w:spacing w:before="30" w:after="30" w:line="252" w:lineRule="auto"/>
            </w:pPr>
            <w:r/>
            <w:r>
              <w:rPr>
                <w:rFonts w:ascii="Segoe UI" w:hAnsi="Segoe UI" w:eastAsia="Segoe UI"/>
                <w:b w:val="0"/>
                <w:i w:val="0"/>
                <w:color w:val="1B2630"/>
                <w:sz w:val="15"/>
              </w:rPr>
              <w:t>instrument_event_mapping.csv importeren. Vanaf hier staat het skelet en kun je door de events klikken.</w:t>
            </w:r>
          </w:p>
        </w:tc>
        <w:tc>
          <w:tcPr>
            <w:tcW w:type="dxa" w:w="3402"/>
          </w:tcPr>
          <w:p>
            <w:pPr>
              <w:spacing w:before="30" w:after="30" w:line="252" w:lineRule="auto"/>
            </w:pPr>
            <w:r/>
            <w:r>
              <w:rPr>
                <w:rFonts w:ascii="Segoe UI" w:hAnsi="Segoe UI" w:eastAsia="Segoe UI"/>
                <w:b w:val="0"/>
                <w:i w:val="0"/>
                <w:color w:val="1B2630"/>
                <w:sz w:val="15"/>
              </w:rPr>
              <w:t>Designate Instruments for My Events</w:t>
            </w:r>
          </w:p>
        </w:tc>
      </w:tr>
      <w:tr>
        <w:tc>
          <w:tcPr>
            <w:tcW w:type="dxa" w:w="680"/>
          </w:tcPr>
          <w:p>
            <w:pPr>
              <w:spacing w:before="30" w:after="30" w:line="252" w:lineRule="auto"/>
            </w:pPr>
            <w:r/>
            <w:r>
              <w:rPr>
                <w:rFonts w:ascii="Segoe UI" w:hAnsi="Segoe UI" w:eastAsia="Segoe UI"/>
                <w:b w:val="0"/>
                <w:i w:val="0"/>
                <w:color w:val="1B2630"/>
                <w:sz w:val="15"/>
              </w:rPr>
              <w:t>8</w:t>
            </w:r>
          </w:p>
        </w:tc>
        <w:tc>
          <w:tcPr>
            <w:tcW w:type="dxa" w:w="5783"/>
          </w:tcPr>
          <w:p>
            <w:pPr>
              <w:spacing w:before="30" w:after="30" w:line="252" w:lineRule="auto"/>
            </w:pPr>
            <w:r/>
            <w:r>
              <w:rPr>
                <w:rFonts w:ascii="Segoe UI" w:hAnsi="Segoe UI" w:eastAsia="Segoe UI"/>
                <w:b w:val="0"/>
                <w:i w:val="0"/>
                <w:color w:val="1B2630"/>
                <w:sz w:val="15"/>
              </w:rPr>
              <w:t>Data Access Groups per centrum aanmaken.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9</w:t>
            </w:r>
          </w:p>
        </w:tc>
        <w:tc>
          <w:tcPr>
            <w:tcW w:type="dxa" w:w="5783"/>
          </w:tcPr>
          <w:p>
            <w:pPr>
              <w:spacing w:before="30" w:after="30" w:line="252" w:lineRule="auto"/>
            </w:pPr>
            <w:r/>
            <w:r>
              <w:rPr>
                <w:rFonts w:ascii="Segoe UI" w:hAnsi="Segoe UI" w:eastAsia="Segoe UI"/>
                <w:b w:val="0"/>
                <w:i w:val="0"/>
                <w:color w:val="1B2630"/>
                <w:sz w:val="15"/>
              </w:rPr>
              <w:t>Gebruikersrechten instellen; alleen het studieteam krijgt invoerrechten.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5783"/>
          </w:tcPr>
          <w:p>
            <w:pPr>
              <w:spacing w:before="30" w:after="30" w:line="252" w:lineRule="auto"/>
            </w:pPr>
            <w:r/>
            <w:r>
              <w:rPr>
                <w:rFonts w:ascii="Segoe UI" w:hAnsi="Segoe UI" w:eastAsia="Segoe UI"/>
                <w:b w:val="0"/>
                <w:i w:val="0"/>
                <w:color w:val="1B2630"/>
                <w:sz w:val="15"/>
              </w:rPr>
              <w:t>De inhoudelijke velden per instrument bouwen, de markering telkens verwijderen.</w:t>
            </w:r>
          </w:p>
        </w:tc>
        <w:tc>
          <w:tcPr>
            <w:tcW w:type="dxa" w:w="3402"/>
          </w:tcPr>
          <w:p>
            <w:pPr>
              <w:spacing w:before="30" w:after="30" w:line="252" w:lineRule="auto"/>
            </w:pPr>
            <w:r/>
            <w:r>
              <w:rPr>
                <w:rFonts w:ascii="Segoe UI" w:hAnsi="Segoe UI" w:eastAsia="Segoe UI"/>
                <w:b w:val="0"/>
                <w:i w:val="0"/>
                <w:color w:val="1B2630"/>
                <w:sz w:val="15"/>
              </w:rPr>
              <w:t>Designer, of Data Dictionary upload</w:t>
            </w:r>
          </w:p>
        </w:tc>
      </w:tr>
      <w:tr>
        <w:tc>
          <w:tcPr>
            <w:tcW w:type="dxa" w:w="680"/>
          </w:tcPr>
          <w:p>
            <w:pPr>
              <w:spacing w:before="30" w:after="30" w:line="252" w:lineRule="auto"/>
            </w:pPr>
            <w:r/>
            <w:r>
              <w:rPr>
                <w:rFonts w:ascii="Segoe UI" w:hAnsi="Segoe UI" w:eastAsia="Segoe UI"/>
                <w:b w:val="0"/>
                <w:i w:val="0"/>
                <w:color w:val="1B2630"/>
                <w:sz w:val="15"/>
              </w:rPr>
              <w:t>11</w:t>
            </w:r>
          </w:p>
        </w:tc>
        <w:tc>
          <w:tcPr>
            <w:tcW w:type="dxa" w:w="5783"/>
          </w:tcPr>
          <w:p>
            <w:pPr>
              <w:spacing w:before="30" w:after="30" w:line="252" w:lineRule="auto"/>
            </w:pPr>
            <w:r/>
            <w:r>
              <w:rPr>
                <w:rFonts w:ascii="Segoe UI" w:hAnsi="Segoe UI" w:eastAsia="Segoe UI"/>
                <w:b w:val="0"/>
                <w:i w:val="0"/>
                <w:color w:val="1B2630"/>
                <w:sz w:val="15"/>
              </w:rPr>
              <w:t>Acceptatietest met een testdeelnemer per arm; branching en mapping nalopen.</w:t>
            </w:r>
          </w:p>
        </w:tc>
        <w:tc>
          <w:tcPr>
            <w:tcW w:type="dxa" w:w="3402"/>
          </w:tcPr>
          <w:p>
            <w:pPr>
              <w:spacing w:before="30" w:after="30" w:line="252" w:lineRule="auto"/>
            </w:pPr>
            <w:r/>
            <w:r>
              <w:rPr>
                <w:rFonts w:ascii="Segoe UI" w:hAnsi="Segoe UI" w:eastAsia="Segoe UI"/>
                <w:b w:val="0"/>
                <w:i w:val="0"/>
                <w:color w:val="1B2630"/>
                <w:sz w:val="15"/>
              </w:rPr>
              <w:t>Record Status Dashboard</w:t>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5783"/>
          </w:tcPr>
          <w:p>
            <w:pPr>
              <w:spacing w:before="30" w:after="30" w:line="252" w:lineRule="auto"/>
            </w:pPr>
            <w:r/>
            <w:r>
              <w:rPr>
                <w:rFonts w:ascii="Segoe UI" w:hAnsi="Segoe UI" w:eastAsia="Segoe UI"/>
                <w:b w:val="0"/>
                <w:i w:val="0"/>
                <w:color w:val="1B2630"/>
                <w:sz w:val="15"/>
              </w:rPr>
              <w:t>Alle testdata wissen, project naar productie, versie vastleggen.</w:t>
            </w:r>
          </w:p>
        </w:tc>
        <w:tc>
          <w:tcPr>
            <w:tcW w:type="dxa" w:w="3402"/>
          </w:tcPr>
          <w:p>
            <w:pPr>
              <w:spacing w:before="30" w:after="30" w:line="252" w:lineRule="auto"/>
            </w:pPr>
            <w:r/>
            <w:r>
              <w:rPr>
                <w:rFonts w:ascii="Segoe UI" w:hAnsi="Segoe UI" w:eastAsia="Segoe UI"/>
                <w:b w:val="0"/>
                <w:i w:val="0"/>
                <w:color w:val="1B2630"/>
                <w:sz w:val="15"/>
              </w:rPr>
              <w:t>Other Functionality, dan Project Setup</w:t>
            </w:r>
          </w:p>
        </w:tc>
      </w:tr>
    </w:tbl>
    <w:p>
      <w:pPr>
        <w:spacing w:before="0" w:after="80"/>
      </w:pPr>
      <w:r>
        <w:rPr>
          <w:rFonts w:ascii="Segoe UI" w:hAnsi="Segoe UI" w:eastAsia="Segoe UI"/>
          <w:b w:val="0"/>
          <w:i w:val="0"/>
          <w:color w:val="5A6A78"/>
          <w:sz w:val="17"/>
        </w:rPr>
        <w:t>Stap 1 tot 9 kun je vandaag doen; ze hangen niet aan de openstaande punten. Stap 10 is het grote werk en volgt pas als de drie punten hieronder beslecht zijn.</w:t>
      </w:r>
    </w:p>
    <w:p>
      <w:pPr>
        <w:spacing w:before="0" w:after="80"/>
      </w:pPr>
      <w:r>
        <w:rPr>
          <w:rFonts w:ascii="Segoe UI" w:hAnsi="Segoe UI" w:eastAsia="Segoe UI"/>
          <w:b w:val="0"/>
          <w:i w:val="0"/>
          <w:color w:val="5A6A78"/>
          <w:sz w:val="17"/>
        </w:rPr>
        <w:t>Wis de testrecords vóór je naar productie gaat. REDCap biedt dat aan bij het overzetten, maar een testrecord dat blijft staan, telt later mee in je PRISMA- en CONSORT-aantallen.</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Drie dingen die eerst beslist moeten worden</w:t>
      </w:r>
    </w:p>
    <w:p>
      <w:pPr>
        <w:spacing w:before="0" w:after="80"/>
      </w:pPr>
      <w:r>
        <w:rPr>
          <w:rFonts w:ascii="Segoe UI" w:hAnsi="Segoe UI" w:eastAsia="Segoe UI"/>
          <w:b w:val="0"/>
          <w:i w:val="0"/>
          <w:color w:val="1B2630"/>
          <w:sz w:val="19"/>
        </w:rPr>
        <w:t>Alle drie zitten ze in de structuur. Achteraf wijzigen kan wel, maar niet gratis: variabelenamen liggen dan vast en er zit data in.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Punt</w:t>
            </w:r>
          </w:p>
        </w:tc>
        <w:tc>
          <w:tcPr>
            <w:tcW w:type="dxa" w:w="368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85"/>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Twee eCRF-sets met verschillende nummering — openstaand punt 6</w:t>
            </w:r>
          </w:p>
        </w:tc>
        <w:tc>
          <w:tcPr>
            <w:tcW w:type="dxa" w:w="3685"/>
          </w:tcPr>
          <w:p>
            <w:pPr>
              <w:spacing w:before="30" w:after="30" w:line="252" w:lineRule="auto"/>
            </w:pPr>
            <w:r/>
            <w:r>
              <w:rPr>
                <w:rFonts w:ascii="Segoe UI" w:hAnsi="Segoe UI" w:eastAsia="Segoe UI"/>
                <w:b w:val="0"/>
                <w:i w:val="0"/>
                <w:color w:val="1B2630"/>
                <w:sz w:val="15"/>
              </w:rPr>
              <w:t>De instrumentnamen en het hele variabelenschema hangen aan de nummering. Twee sets betekent twee onverenigbare schema’s.</w:t>
            </w:r>
          </w:p>
        </w:tc>
        <w:tc>
          <w:tcPr>
            <w:tcW w:type="dxa" w:w="3685"/>
          </w:tcPr>
          <w:p>
            <w:pPr>
              <w:spacing w:before="30" w:after="30" w:line="252" w:lineRule="auto"/>
            </w:pPr>
            <w:r/>
            <w:r>
              <w:rPr>
                <w:rFonts w:ascii="Segoe UI" w:hAnsi="Segoe UI" w:eastAsia="Segoe UI"/>
                <w:b w:val="0"/>
                <w:i w:val="0"/>
                <w:color w:val="1B2630"/>
                <w:sz w:val="15"/>
              </w:rPr>
              <w:t>Eén set officieel aanduiden. De skeletbestanden hier volgen de Nederlandse set 00–48 uit (e)CRF/Per nummer/.</w:t>
            </w:r>
          </w:p>
        </w:tc>
      </w:tr>
      <w:tr>
        <w:tc>
          <w:tcPr>
            <w:tcW w:type="dxa" w:w="2494"/>
          </w:tcPr>
          <w:p>
            <w:pPr>
              <w:spacing w:before="30" w:after="30" w:line="252" w:lineRule="auto"/>
            </w:pPr>
            <w:r/>
            <w:r>
              <w:rPr>
                <w:rFonts w:ascii="Segoe UI" w:hAnsi="Segoe UI" w:eastAsia="Segoe UI"/>
                <w:b w:val="0"/>
                <w:i w:val="0"/>
                <w:color w:val="1B2630"/>
                <w:sz w:val="15"/>
              </w:rPr>
              <w:t>eCRF 09 en 24 zijn achterhaald</w:t>
            </w:r>
          </w:p>
        </w:tc>
        <w:tc>
          <w:tcPr>
            <w:tcW w:type="dxa" w:w="3685"/>
          </w:tcPr>
          <w:p>
            <w:pPr>
              <w:spacing w:before="30" w:after="30" w:line="252" w:lineRule="auto"/>
            </w:pPr>
            <w:r/>
            <w:r>
              <w:rPr>
                <w:rFonts w:ascii="Segoe UI" w:hAnsi="Segoe UI" w:eastAsia="Segoe UI"/>
                <w:b w:val="0"/>
                <w:i w:val="0"/>
                <w:color w:val="1B2630"/>
                <w:sz w:val="15"/>
              </w:rPr>
              <w:t>De PI besliste op 11 september 2026 dat er niet blootsvoets gemeten wordt. eCRF 09 beschrijft nog een blootsvoetse baseline, eCRF 24 vraagt nog drie condities.</w:t>
            </w:r>
          </w:p>
        </w:tc>
        <w:tc>
          <w:tcPr>
            <w:tcW w:type="dxa" w:w="3685"/>
          </w:tcPr>
          <w:p>
            <w:pPr>
              <w:spacing w:before="30" w:after="30" w:line="252" w:lineRule="auto"/>
            </w:pPr>
            <w:r/>
            <w:r>
              <w:rPr>
                <w:rFonts w:ascii="Segoe UI" w:hAnsi="Segoe UI" w:eastAsia="Segoe UI"/>
                <w:b w:val="0"/>
                <w:i w:val="0"/>
                <w:color w:val="1B2630"/>
                <w:sz w:val="15"/>
              </w:rPr>
              <w:t>Beide formulieren bijwerken naar in-shoe, zónder en mét de CMFO in dezelfde sessie, vóór de velden in REDCap gebouwd worden.</w:t>
            </w:r>
          </w:p>
        </w:tc>
      </w:tr>
      <w:tr>
        <w:tc>
          <w:tcPr>
            <w:tcW w:type="dxa" w:w="2494"/>
          </w:tcPr>
          <w:p>
            <w:pPr>
              <w:spacing w:before="30" w:after="30" w:line="252" w:lineRule="auto"/>
            </w:pPr>
            <w:r/>
            <w:r>
              <w:rPr>
                <w:rFonts w:ascii="Segoe UI" w:hAnsi="Segoe UI" w:eastAsia="Segoe UI"/>
                <w:b w:val="0"/>
                <w:i w:val="0"/>
                <w:color w:val="1B2630"/>
                <w:sz w:val="15"/>
              </w:rPr>
              <w:t>eCRF 01 mist criteria — openstaand punt 2</w:t>
            </w:r>
          </w:p>
        </w:tc>
        <w:tc>
          <w:tcPr>
            <w:tcW w:type="dxa" w:w="3685"/>
          </w:tcPr>
          <w:p>
            <w:pPr>
              <w:spacing w:before="30" w:after="30" w:line="252" w:lineRule="auto"/>
            </w:pPr>
            <w:r/>
            <w:r>
              <w:rPr>
                <w:rFonts w:ascii="Segoe UI" w:hAnsi="Segoe UI" w:eastAsia="Segoe UI"/>
                <w:b w:val="0"/>
                <w:i w:val="0"/>
                <w:color w:val="1B2630"/>
                <w:sz w:val="15"/>
              </w:rPr>
              <w:t>PEDIS graad 3 en immunosuppressie ontbreken bij de exclusie, stabiele vaatstatus bij de inclusie. Bouw je het screeninginstrument hieruit, dan dwingt de databank de verkeerde geschiktheid af.</w:t>
            </w:r>
          </w:p>
        </w:tc>
        <w:tc>
          <w:tcPr>
            <w:tcW w:type="dxa" w:w="3685"/>
          </w:tcPr>
          <w:p>
            <w:pPr>
              <w:spacing w:before="30" w:after="30" w:line="252" w:lineRule="auto"/>
            </w:pPr>
            <w:r/>
            <w:r>
              <w:rPr>
                <w:rFonts w:ascii="Segoe UI" w:hAnsi="Segoe UI" w:eastAsia="Segoe UI"/>
                <w:b w:val="0"/>
                <w:i w:val="0"/>
                <w:color w:val="1B2630"/>
                <w:sz w:val="15"/>
              </w:rPr>
              <w:t>Aanvullen vóór de EC-indiening, en dus zeker vóór e01_screening gebouwd wordt.</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Dat is een gevolgtrekking, geen vastgesteld feit, en ze staat in de mapping — dus corrigeer ze nu, niet later.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De terugkoppeling ís de interventie.</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e02_toestemming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e06_geschiktheid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e07_demografie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e46_ae_sae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36 instrumenten, 28 events, 170 mappingregels.</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