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1487 velden over 41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en 41 tot 44</w:t>
            </w:r>
          </w:p>
        </w:tc>
        <w:tc>
          <w:tcPr>
            <w:tcW w:type="dxa" w:w="3742"/>
          </w:tcPr>
          <w:p>
            <w:pPr>
              <w:spacing w:before="30" w:after="30" w:line="252" w:lineRule="auto"/>
            </w:pPr>
            <w:r/>
            <w:r>
              <w:rPr>
                <w:rFonts w:ascii="Segoe UI" w:hAnsi="Segoe UI" w:eastAsia="Segoe UI"/>
                <w:b w:val="0"/>
                <w:i w:val="0"/>
                <w:color w:val="1B2630"/>
                <w:sz w:val="15"/>
              </w:rPr>
              <w:t>Interviewgidsen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 Uitzondering: het dagboek van de therapeut (eCRF 40) staat wel in de trialdatabank, op het event Dagboek therapeut.</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alleen op baseline en maand 6, geblindeerd: palet met drempel 50 kPa, de waarden uit.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in Usual Care en zestien in Optimal Care, eenendertig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sensor in de zool; drukoptimalisatie alleen in Optimal Care.</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t>Maand 6, met drukmeting in beide armen (in Usual Care geblindeerd).</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in Optimal Care.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in Optimal Care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t>Dagboek therapeut</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Alleen Optimal Care. Gestructureerd dagboek van de therapeut (eCRF 40), niet aan een visite gebonden.</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t>Deviatie</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Ongepland. Eén herhaling per afwijking van het protocol.</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Dagboek therapeut, Ulcus, AE SAE en Deviatie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eenendertig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events voor beide armen: vijftien in Usual Care, zestien in Optimal Care.</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vijf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Repeat Entire Event, in beide armen, en Dagboek therapeut in Optimal Care.</w:t>
      </w:r>
      <w:r>
        <w:rPr>
          <w:rFonts w:ascii="Segoe UI" w:hAnsi="Segoe UI" w:eastAsia="Segoe UI"/>
          <w:b/>
          <w:i w:val="0"/>
          <w:color w:val="1B2630"/>
          <w:sz w:val="19"/>
        </w:rPr>
      </w:r>
      <w:r>
        <w:rPr>
          <w:rFonts w:ascii="Segoe UI" w:hAnsi="Segoe UI" w:eastAsia="Segoe UI"/>
          <w:b w:val="0"/>
          <w:i w:val="0"/>
          <w:color w:val="1B2630"/>
          <w:sz w:val="19"/>
        </w:rPr>
        <w:t xml:space="preserve">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eenenveertig formulieren zijn volledig gebouwd, samen 1494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en alleen op maand 6, _oc met doeltoetsing per sessie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Beslist op 30 september 2026: de MoveMonitor dient alleen nog bij de start, om de slaaptijd en dus de waaktijd te bepalen. De meetweek op maand 6 vervalt. eCRF 20 en 27 staan daarom niet meer op visite 4 in de mapping; de drie mappingbestanden zijn aangepast.</w:t>
      </w:r>
    </w:p>
    <w:p>
      <w:pPr>
        <w:spacing w:before="0" w:after="80"/>
      </w:pPr>
      <w:r>
        <w:rPr>
          <w:rFonts w:ascii="Segoe UI" w:hAnsi="Segoe UI" w:eastAsia="Segoe UI"/>
          <w:b w:val="0"/>
          <w:i w:val="0"/>
          <w:color w:val="1B2630"/>
          <w:sz w:val="19"/>
        </w:rPr>
        <w:t>Beslist op 6 en 8 oktober 2026: de 25% wordt per sessie gerekend, zónder tegenover mét de CMFO in dezelfde sessie, met tot drie aanpassingen. De berekende velden van e24_drukherverdeling_oc verwijzen daarom niet meer naar visite 2, en elke doelregio heeft een derde extra ontlastingstest. In Usual Care wordt de druk alleen op baseline (e09) en maand 6 gemeten, geblindeerd: tweede palet met Pressure Cut Off 50 kPa en de waarden uit. e24_drukmeting_uc staat daarom niet meer op visite 2, 6 en 8; de drie mappingbestanden zijn aangepast.</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t>e40_dagboek_therapeut</w:t>
            </w:r>
            <w:r>
              <w:rPr>
                <w:rFonts w:ascii="Segoe UI" w:hAnsi="Segoe UI" w:eastAsia="Segoe UI"/>
                <w:b w:val="0"/>
                <w:i w:val="0"/>
                <w:color w:val="1B2630"/>
                <w:sz w:val="15"/>
              </w:rPr>
            </w:r>
          </w:p>
        </w:tc>
        <w:tc>
          <w:tcPr>
            <w:tcW w:type="dxa" w:w="3628"/>
          </w:tcPr>
          <w:p>
            <w:pPr>
              <w:spacing w:before="30" w:after="30" w:line="252" w:lineRule="auto"/>
            </w:pPr>
            <w:r>
              <w:t>Alleen Optimal Care, event Dagboek therapeut.</w:t>
            </w:r>
            <w:r>
              <w:rPr>
                <w:rFonts w:ascii="Segoe UI" w:hAnsi="Segoe UI" w:eastAsia="Segoe UI"/>
                <w:b w:val="0"/>
                <w:i w:val="0"/>
                <w:color w:val="1B2630"/>
                <w:sz w:val="15"/>
              </w:rPr>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1487 velden, 41 formulieren, 31 events, 206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