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vier bestanden in dezelfde map: data_dictionary_PARADISE.csv, instrumenten.csv, events.csv en instrument_event_mapping.csv. De dictionary voegt de CTU-template voor een hulpmiddelenstudie samen met de klinische PARADISE-instrumenten: 271 velden over 40 formulieren.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tot 44</w:t>
            </w:r>
          </w:p>
        </w:tc>
        <w:tc>
          <w:tcPr>
            <w:tcW w:type="dxa" w:w="3742"/>
          </w:tcPr>
          <w:p>
            <w:pPr>
              <w:spacing w:before="30" w:after="30" w:line="252" w:lineRule="auto"/>
            </w:pPr>
            <w:r/>
            <w:r>
              <w:rPr>
                <w:rFonts w:ascii="Segoe UI" w:hAnsi="Segoe UI" w:eastAsia="Segoe UI"/>
                <w:b w:val="0"/>
                <w:i w:val="0"/>
                <w:color w:val="1B2630"/>
                <w:sz w:val="15"/>
              </w:rPr>
              <w:t>Interviewgidsen, dagboeken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wel, maar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Veertien events per arm. De offsets zijn dagen ten opzichte van visite 1, de baseline; die is dus het anker. Vul ze in bij “Define My Events” als je de schedulingmodule gebruikt; doe je dat niet, dan zijn ze documentatie en mag je ze weglaten.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drukoptimalisatie, sensor in de zool.</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6, met drukmeting en de tweede MoveMonitorweek.</w:t>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REDCap leidt de unieke eventnaam af uit het label. De labels hierboven zijn kort gehouden zodat die afleiding voorspelbaar is: “Visite 1” wordt visite_1_arm_1. **Controleer na het aanmaken of de gegenereerde namen overeenkomen met de kolom unique_event_name in events.csv**,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Ulcus en AE SAE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Volgorde van opbouw, en waar je veilig fouten maakt</w:t>
      </w:r>
    </w:p>
    <w:p>
      <w:pPr>
        <w:spacing w:before="0" w:after="80"/>
      </w:pPr>
      <w:r>
        <w:rPr>
          <w:rFonts w:ascii="Segoe UI" w:hAnsi="Segoe UI" w:eastAsia="Segoe UI"/>
          <w:b w:val="0"/>
          <w:i w:val="0"/>
          <w:color w:val="1B2630"/>
          <w:sz w:val="19"/>
        </w:rPr>
        <w:t>Een nieuw REDCap-project staat in **Development**-status, en dat is je testomgeving. Daar mag alles: velden toevoegen, verwijderen, van type veranderen, testrecords invoeren en weer wissen. Pas bij *Move to Production* gaan structurele wijzigingen via Draft Mode en goedkeuring. Je hebt dus geen apart oefenproject nodig — het echte project is de zandbak, tot jij beslist dat het dat niet meer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680"/>
            <w:shd w:val="clear" w:color="auto" w:fill="1D8DB0"/>
          </w:tcPr>
          <w:p>
            <w:pPr>
              <w:spacing w:before="30" w:after="30" w:line="252" w:lineRule="auto"/>
            </w:pPr>
            <w:r/>
            <w:r>
              <w:rPr>
                <w:rFonts w:ascii="Segoe UI" w:hAnsi="Segoe UI" w:eastAsia="Segoe UI"/>
                <w:b/>
                <w:i w:val="0"/>
                <w:color w:val="FFFFFF"/>
                <w:sz w:val="15"/>
              </w:rPr>
              <w:t>Stap</w:t>
            </w:r>
          </w:p>
        </w:tc>
        <w:tc>
          <w:tcPr>
            <w:tcW w:type="dxa" w:w="5783"/>
            <w:shd w:val="clear" w:color="auto" w:fill="1D8DB0"/>
          </w:tcPr>
          <w:p>
            <w:pPr>
              <w:spacing w:before="30" w:after="30" w:line="252" w:lineRule="auto"/>
            </w:pPr>
            <w:r/>
            <w:r>
              <w:rPr>
                <w:rFonts w:ascii="Segoe UI" w:hAnsi="Segoe UI" w:eastAsia="Segoe UI"/>
                <w:b/>
                <w:i w:val="0"/>
                <w:color w:val="FFFFFF"/>
                <w:sz w:val="15"/>
              </w:rPr>
              <w:t>Wat</w:t>
            </w:r>
          </w:p>
        </w:tc>
        <w:tc>
          <w:tcPr>
            <w:tcW w:type="dxa" w:w="3402"/>
            <w:shd w:val="clear" w:color="auto" w:fill="1D8DB0"/>
          </w:tcPr>
          <w:p>
            <w:pPr>
              <w:spacing w:before="30" w:after="30" w:line="252" w:lineRule="auto"/>
            </w:pPr>
            <w:r/>
            <w:r>
              <w:rPr>
                <w:rFonts w:ascii="Segoe UI" w:hAnsi="Segoe UI" w:eastAsia="Segoe UI"/>
                <w:b/>
                <w:i w:val="0"/>
                <w:color w:val="FFFFFF"/>
                <w:sz w:val="15"/>
              </w:rPr>
              <w:t>Waar in REDCap</w:t>
            </w:r>
          </w:p>
        </w:tc>
      </w:tr>
      <w:tr>
        <w:tc>
          <w:tcPr>
            <w:tcW w:type="dxa" w:w="680"/>
          </w:tcPr>
          <w:p>
            <w:pPr>
              <w:spacing w:before="30" w:after="30" w:line="252" w:lineRule="auto"/>
            </w:pPr>
            <w:r/>
            <w:r>
              <w:rPr>
                <w:rFonts w:ascii="Segoe UI" w:hAnsi="Segoe UI" w:eastAsia="Segoe UI"/>
                <w:b w:val="0"/>
                <w:i w:val="0"/>
                <w:color w:val="1B2630"/>
                <w:sz w:val="15"/>
              </w:rPr>
              <w:t>1</w:t>
            </w:r>
          </w:p>
        </w:tc>
        <w:tc>
          <w:tcPr>
            <w:tcW w:type="dxa" w:w="5783"/>
          </w:tcPr>
          <w:p>
            <w:pPr>
              <w:spacing w:before="30" w:after="30" w:line="252" w:lineRule="auto"/>
            </w:pPr>
            <w:r/>
            <w:r>
              <w:rPr>
                <w:rFonts w:ascii="Segoe UI" w:hAnsi="Segoe UI" w:eastAsia="Segoe UI"/>
                <w:b w:val="0"/>
                <w:i w:val="0"/>
                <w:color w:val="1B2630"/>
                <w:sz w:val="15"/>
              </w:rPr>
              <w:t>Project aanmaken als longitudinaal, met armen ingeschakeld. Blijft in Development.</w:t>
            </w:r>
          </w:p>
        </w:tc>
        <w:tc>
          <w:tcPr>
            <w:tcW w:type="dxa" w:w="3402"/>
          </w:tcPr>
          <w:p>
            <w:pPr>
              <w:spacing w:before="30" w:after="30" w:line="252" w:lineRule="auto"/>
            </w:pPr>
            <w:r/>
            <w:r>
              <w:rPr>
                <w:rFonts w:ascii="Segoe UI" w:hAnsi="Segoe UI" w:eastAsia="Segoe UI"/>
                <w:b w:val="0"/>
                <w:i w:val="0"/>
                <w:color w:val="1B2630"/>
                <w:sz w:val="15"/>
              </w:rPr>
              <w:t>Project Setup</w:t>
            </w:r>
          </w:p>
        </w:tc>
      </w:tr>
      <w:tr>
        <w:tc>
          <w:tcPr>
            <w:tcW w:type="dxa" w:w="680"/>
          </w:tcPr>
          <w:p>
            <w:pPr>
              <w:spacing w:before="30" w:after="30" w:line="252" w:lineRule="auto"/>
            </w:pPr>
            <w:r/>
            <w:r>
              <w:rPr>
                <w:rFonts w:ascii="Segoe UI" w:hAnsi="Segoe UI" w:eastAsia="Segoe UI"/>
                <w:b w:val="0"/>
                <w:i w:val="0"/>
                <w:color w:val="1B2630"/>
                <w:sz w:val="15"/>
              </w:rPr>
              <w:t>2</w:t>
            </w:r>
          </w:p>
        </w:tc>
        <w:tc>
          <w:tcPr>
            <w:tcW w:type="dxa" w:w="5783"/>
          </w:tcPr>
          <w:p>
            <w:pPr>
              <w:spacing w:before="30" w:after="30" w:line="252" w:lineRule="auto"/>
            </w:pPr>
            <w:r/>
            <w:r>
              <w:rPr>
                <w:rFonts w:ascii="Segoe UI" w:hAnsi="Segoe UI" w:eastAsia="Segoe UI"/>
                <w:b w:val="0"/>
                <w:i w:val="0"/>
                <w:color w:val="1B2630"/>
                <w:sz w:val="15"/>
              </w:rPr>
              <w:t>Twee armen aanmaken: Usual Care en Optimal Care.</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3</w:t>
            </w:r>
          </w:p>
        </w:tc>
        <w:tc>
          <w:tcPr>
            <w:tcW w:type="dxa" w:w="5783"/>
          </w:tcPr>
          <w:p>
            <w:pPr>
              <w:spacing w:before="30" w:after="30" w:line="252" w:lineRule="auto"/>
            </w:pPr>
            <w:r/>
            <w:r>
              <w:rPr>
                <w:rFonts w:ascii="Segoe UI" w:hAnsi="Segoe UI" w:eastAsia="Segoe UI"/>
                <w:b w:val="0"/>
                <w:i w:val="0"/>
                <w:color w:val="1B2630"/>
                <w:sz w:val="15"/>
              </w:rPr>
              <w:t>De veertien events per arm aanmaken, met offsets.</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4</w:t>
            </w:r>
          </w:p>
        </w:tc>
        <w:tc>
          <w:tcPr>
            <w:tcW w:type="dxa" w:w="5783"/>
          </w:tcPr>
          <w:p>
            <w:pPr>
              <w:spacing w:before="30" w:after="30" w:line="252" w:lineRule="auto"/>
            </w:pPr>
            <w:r/>
            <w:r>
              <w:rPr>
                <w:rFonts w:ascii="Segoe UI" w:hAnsi="Segoe UI" w:eastAsia="Segoe UI"/>
                <w:b w:val="0"/>
                <w:i w:val="0"/>
                <w:color w:val="1B2630"/>
                <w:sz w:val="15"/>
              </w:rPr>
              <w:t>Unieke eventnamen vergelijken met events.csv en verschillen noteren.</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5</w:t>
            </w:r>
          </w:p>
        </w:tc>
        <w:tc>
          <w:tcPr>
            <w:tcW w:type="dxa" w:w="5783"/>
          </w:tcPr>
          <w:p>
            <w:pPr>
              <w:spacing w:before="30" w:after="30" w:line="252" w:lineRule="auto"/>
            </w:pPr>
            <w:r/>
            <w:r>
              <w:rPr>
                <w:rFonts w:ascii="Segoe UI" w:hAnsi="Segoe UI" w:eastAsia="Segoe UI"/>
                <w:b w:val="0"/>
                <w:i w:val="0"/>
                <w:color w:val="1B2630"/>
                <w:sz w:val="15"/>
              </w:rPr>
              <w:t>Dagboek, Ulcus, AE SAE en Deviatie als herhalend event markeren, en concomitant_therapy als herhalend instrument op de bezoek-events.</w:t>
            </w:r>
          </w:p>
        </w:tc>
        <w:tc>
          <w:tcPr>
            <w:tcW w:type="dxa" w:w="3402"/>
          </w:tcPr>
          <w:p>
            <w:pPr>
              <w:spacing w:before="30" w:after="30" w:line="252" w:lineRule="auto"/>
            </w:pPr>
            <w:r/>
            <w:r>
              <w:rPr>
                <w:rFonts w:ascii="Segoe UI" w:hAnsi="Segoe UI" w:eastAsia="Segoe UI"/>
                <w:b w:val="0"/>
                <w:i w:val="0"/>
                <w:color w:val="1B2630"/>
                <w:sz w:val="15"/>
              </w:rPr>
              <w:t>Repeating Instruments and Events</w:t>
            </w:r>
          </w:p>
        </w:tc>
      </w:tr>
      <w:tr>
        <w:tc>
          <w:tcPr>
            <w:tcW w:type="dxa" w:w="680"/>
          </w:tcPr>
          <w:p>
            <w:pPr>
              <w:spacing w:before="30" w:after="30" w:line="252" w:lineRule="auto"/>
            </w:pPr>
            <w:r/>
            <w:r>
              <w:rPr>
                <w:rFonts w:ascii="Segoe UI" w:hAnsi="Segoe UI" w:eastAsia="Segoe UI"/>
                <w:b w:val="0"/>
                <w:i w:val="0"/>
                <w:color w:val="1B2630"/>
                <w:sz w:val="15"/>
              </w:rPr>
              <w:t>6</w:t>
            </w:r>
          </w:p>
        </w:tc>
        <w:tc>
          <w:tcPr>
            <w:tcW w:type="dxa" w:w="5783"/>
          </w:tcPr>
          <w:p>
            <w:pPr>
              <w:spacing w:before="30" w:after="30" w:line="252" w:lineRule="auto"/>
            </w:pPr>
            <w:r/>
            <w:r>
              <w:rPr>
                <w:rFonts w:ascii="Segoe UI" w:hAnsi="Segoe UI" w:eastAsia="Segoe UI"/>
                <w:b w:val="0"/>
                <w:i w:val="0"/>
                <w:color w:val="1B2630"/>
                <w:sz w:val="15"/>
              </w:rPr>
              <w:t>data_dictionary_PARADISE.csv importeren. Dat zet de tien CTU-formulieren volledig neer en de eenendertig klinische instrumenten als skelet, elk met een datumveld, een invoerdersveld en een markering dat de inhoud nog volgt.</w:t>
            </w:r>
          </w:p>
        </w:tc>
        <w:tc>
          <w:tcPr>
            <w:tcW w:type="dxa" w:w="3402"/>
          </w:tcPr>
          <w:p>
            <w:pPr>
              <w:spacing w:before="30" w:after="30" w:line="252" w:lineRule="auto"/>
            </w:pPr>
            <w:r/>
            <w:r>
              <w:rPr>
                <w:rFonts w:ascii="Segoe UI" w:hAnsi="Segoe UI" w:eastAsia="Segoe UI"/>
                <w:b w:val="0"/>
                <w:i w:val="0"/>
                <w:color w:val="1B2630"/>
                <w:sz w:val="15"/>
              </w:rPr>
              <w:t>Data Dictionary upload</w:t>
            </w:r>
          </w:p>
        </w:tc>
      </w:tr>
      <w:tr>
        <w:tc>
          <w:tcPr>
            <w:tcW w:type="dxa" w:w="680"/>
          </w:tcPr>
          <w:p>
            <w:pPr>
              <w:spacing w:before="30" w:after="30" w:line="252" w:lineRule="auto"/>
            </w:pPr>
            <w:r/>
            <w:r>
              <w:rPr>
                <w:rFonts w:ascii="Segoe UI" w:hAnsi="Segoe UI" w:eastAsia="Segoe UI"/>
                <w:b w:val="0"/>
                <w:i w:val="0"/>
                <w:color w:val="1B2630"/>
                <w:sz w:val="15"/>
              </w:rPr>
              <w:t>7</w:t>
            </w:r>
          </w:p>
        </w:tc>
        <w:tc>
          <w:tcPr>
            <w:tcW w:type="dxa" w:w="5783"/>
          </w:tcPr>
          <w:p>
            <w:pPr>
              <w:spacing w:before="30" w:after="30" w:line="252" w:lineRule="auto"/>
            </w:pPr>
            <w:r/>
            <w:r>
              <w:rPr>
                <w:rFonts w:ascii="Segoe UI" w:hAnsi="Segoe UI" w:eastAsia="Segoe UI"/>
                <w:b w:val="0"/>
                <w:i w:val="0"/>
                <w:color w:val="1B2630"/>
                <w:sz w:val="15"/>
              </w:rPr>
              <w:t>instrument_event_mapping.csv importeren. Vanaf hier staat het skelet en kun je door de events klikken.</w:t>
            </w:r>
          </w:p>
        </w:tc>
        <w:tc>
          <w:tcPr>
            <w:tcW w:type="dxa" w:w="3402"/>
          </w:tcPr>
          <w:p>
            <w:pPr>
              <w:spacing w:before="30" w:after="30" w:line="252" w:lineRule="auto"/>
            </w:pPr>
            <w:r/>
            <w:r>
              <w:rPr>
                <w:rFonts w:ascii="Segoe UI" w:hAnsi="Segoe UI" w:eastAsia="Segoe UI"/>
                <w:b w:val="0"/>
                <w:i w:val="0"/>
                <w:color w:val="1B2630"/>
                <w:sz w:val="15"/>
              </w:rPr>
              <w:t>Designate Instruments for My Events</w:t>
            </w:r>
          </w:p>
        </w:tc>
      </w:tr>
      <w:tr>
        <w:tc>
          <w:tcPr>
            <w:tcW w:type="dxa" w:w="680"/>
          </w:tcPr>
          <w:p>
            <w:pPr>
              <w:spacing w:before="30" w:after="30" w:line="252" w:lineRule="auto"/>
            </w:pPr>
            <w:r/>
            <w:r>
              <w:rPr>
                <w:rFonts w:ascii="Segoe UI" w:hAnsi="Segoe UI" w:eastAsia="Segoe UI"/>
                <w:b w:val="0"/>
                <w:i w:val="0"/>
                <w:color w:val="1B2630"/>
                <w:sz w:val="15"/>
              </w:rPr>
              <w:t>8</w:t>
            </w:r>
          </w:p>
        </w:tc>
        <w:tc>
          <w:tcPr>
            <w:tcW w:type="dxa" w:w="5783"/>
          </w:tcPr>
          <w:p>
            <w:pPr>
              <w:spacing w:before="30" w:after="30" w:line="252" w:lineRule="auto"/>
            </w:pPr>
            <w:r/>
            <w:r>
              <w:rPr>
                <w:rFonts w:ascii="Segoe UI" w:hAnsi="Segoe UI" w:eastAsia="Segoe UI"/>
                <w:b w:val="0"/>
                <w:i w:val="0"/>
                <w:color w:val="1B2630"/>
                <w:sz w:val="15"/>
              </w:rPr>
              <w:t>Data Access Groups per centrum aanmaken.</w:t>
            </w:r>
          </w:p>
        </w:tc>
        <w:tc>
          <w:tcPr>
            <w:tcW w:type="dxa" w:w="3402"/>
          </w:tcPr>
          <w:p>
            <w:pPr>
              <w:spacing w:before="30" w:after="30" w:line="252" w:lineRule="auto"/>
            </w:pPr>
            <w:r/>
            <w:r>
              <w:rPr>
                <w:rFonts w:ascii="Segoe UI" w:hAnsi="Segoe UI" w:eastAsia="Segoe UI"/>
                <w:b w:val="0"/>
                <w:i w:val="0"/>
                <w:color w:val="1B2630"/>
                <w:sz w:val="15"/>
              </w:rPr>
              <w:t>User Rights</w:t>
            </w:r>
          </w:p>
        </w:tc>
      </w:tr>
      <w:tr>
        <w:tc>
          <w:tcPr>
            <w:tcW w:type="dxa" w:w="680"/>
          </w:tcPr>
          <w:p>
            <w:pPr>
              <w:spacing w:before="30" w:after="30" w:line="252" w:lineRule="auto"/>
            </w:pPr>
            <w:r/>
            <w:r>
              <w:rPr>
                <w:rFonts w:ascii="Segoe UI" w:hAnsi="Segoe UI" w:eastAsia="Segoe UI"/>
                <w:b w:val="0"/>
                <w:i w:val="0"/>
                <w:color w:val="1B2630"/>
                <w:sz w:val="15"/>
              </w:rPr>
              <w:t>9</w:t>
            </w:r>
          </w:p>
        </w:tc>
        <w:tc>
          <w:tcPr>
            <w:tcW w:type="dxa" w:w="5783"/>
          </w:tcPr>
          <w:p>
            <w:pPr>
              <w:spacing w:before="30" w:after="30" w:line="252" w:lineRule="auto"/>
            </w:pPr>
            <w:r/>
            <w:r>
              <w:rPr>
                <w:rFonts w:ascii="Segoe UI" w:hAnsi="Segoe UI" w:eastAsia="Segoe UI"/>
                <w:b w:val="0"/>
                <w:i w:val="0"/>
                <w:color w:val="1B2630"/>
                <w:sz w:val="15"/>
              </w:rPr>
              <w:t>Gebruikersrechten instellen; alleen het studieteam krijgt invoerrechten.</w:t>
            </w:r>
          </w:p>
        </w:tc>
        <w:tc>
          <w:tcPr>
            <w:tcW w:type="dxa" w:w="3402"/>
          </w:tcPr>
          <w:p>
            <w:pPr>
              <w:spacing w:before="30" w:after="30" w:line="252" w:lineRule="auto"/>
            </w:pPr>
            <w:r/>
            <w:r>
              <w:rPr>
                <w:rFonts w:ascii="Segoe UI" w:hAnsi="Segoe UI" w:eastAsia="Segoe UI"/>
                <w:b w:val="0"/>
                <w:i w:val="0"/>
                <w:color w:val="1B2630"/>
                <w:sz w:val="15"/>
              </w:rPr>
              <w:t>User Rights</w:t>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5783"/>
          </w:tcPr>
          <w:p>
            <w:pPr>
              <w:spacing w:before="30" w:after="30" w:line="252" w:lineRule="auto"/>
            </w:pPr>
            <w:r/>
            <w:r>
              <w:rPr>
                <w:rFonts w:ascii="Segoe UI" w:hAnsi="Segoe UI" w:eastAsia="Segoe UI"/>
                <w:b w:val="0"/>
                <w:i w:val="0"/>
                <w:color w:val="1B2630"/>
                <w:sz w:val="15"/>
              </w:rPr>
              <w:t>De inhoudelijke velden per instrument bouwen, de markering telkens verwijderen.</w:t>
            </w:r>
          </w:p>
        </w:tc>
        <w:tc>
          <w:tcPr>
            <w:tcW w:type="dxa" w:w="3402"/>
          </w:tcPr>
          <w:p>
            <w:pPr>
              <w:spacing w:before="30" w:after="30" w:line="252" w:lineRule="auto"/>
            </w:pPr>
            <w:r/>
            <w:r>
              <w:rPr>
                <w:rFonts w:ascii="Segoe UI" w:hAnsi="Segoe UI" w:eastAsia="Segoe UI"/>
                <w:b w:val="0"/>
                <w:i w:val="0"/>
                <w:color w:val="1B2630"/>
                <w:sz w:val="15"/>
              </w:rPr>
              <w:t>Designer, of Data Dictionary upload</w:t>
            </w:r>
          </w:p>
        </w:tc>
      </w:tr>
      <w:tr>
        <w:tc>
          <w:tcPr>
            <w:tcW w:type="dxa" w:w="680"/>
          </w:tcPr>
          <w:p>
            <w:pPr>
              <w:spacing w:before="30" w:after="30" w:line="252" w:lineRule="auto"/>
            </w:pPr>
            <w:r/>
            <w:r>
              <w:rPr>
                <w:rFonts w:ascii="Segoe UI" w:hAnsi="Segoe UI" w:eastAsia="Segoe UI"/>
                <w:b w:val="0"/>
                <w:i w:val="0"/>
                <w:color w:val="1B2630"/>
                <w:sz w:val="15"/>
              </w:rPr>
              <w:t>11</w:t>
            </w:r>
          </w:p>
        </w:tc>
        <w:tc>
          <w:tcPr>
            <w:tcW w:type="dxa" w:w="5783"/>
          </w:tcPr>
          <w:p>
            <w:pPr>
              <w:spacing w:before="30" w:after="30" w:line="252" w:lineRule="auto"/>
            </w:pPr>
            <w:r/>
            <w:r>
              <w:rPr>
                <w:rFonts w:ascii="Segoe UI" w:hAnsi="Segoe UI" w:eastAsia="Segoe UI"/>
                <w:b w:val="0"/>
                <w:i w:val="0"/>
                <w:color w:val="1B2630"/>
                <w:sz w:val="15"/>
              </w:rPr>
              <w:t>Acceptatietest met een testdeelnemer per arm; branching en mapping nalopen.</w:t>
            </w:r>
          </w:p>
        </w:tc>
        <w:tc>
          <w:tcPr>
            <w:tcW w:type="dxa" w:w="3402"/>
          </w:tcPr>
          <w:p>
            <w:pPr>
              <w:spacing w:before="30" w:after="30" w:line="252" w:lineRule="auto"/>
            </w:pPr>
            <w:r/>
            <w:r>
              <w:rPr>
                <w:rFonts w:ascii="Segoe UI" w:hAnsi="Segoe UI" w:eastAsia="Segoe UI"/>
                <w:b w:val="0"/>
                <w:i w:val="0"/>
                <w:color w:val="1B2630"/>
                <w:sz w:val="15"/>
              </w:rPr>
              <w:t>Record Status Dashboard</w:t>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5783"/>
          </w:tcPr>
          <w:p>
            <w:pPr>
              <w:spacing w:before="30" w:after="30" w:line="252" w:lineRule="auto"/>
            </w:pPr>
            <w:r/>
            <w:r>
              <w:rPr>
                <w:rFonts w:ascii="Segoe UI" w:hAnsi="Segoe UI" w:eastAsia="Segoe UI"/>
                <w:b w:val="0"/>
                <w:i w:val="0"/>
                <w:color w:val="1B2630"/>
                <w:sz w:val="15"/>
              </w:rPr>
              <w:t>Alle testdata wissen, project naar productie, versie vastleggen.</w:t>
            </w:r>
          </w:p>
        </w:tc>
        <w:tc>
          <w:tcPr>
            <w:tcW w:type="dxa" w:w="3402"/>
          </w:tcPr>
          <w:p>
            <w:pPr>
              <w:spacing w:before="30" w:after="30" w:line="252" w:lineRule="auto"/>
            </w:pPr>
            <w:r/>
            <w:r>
              <w:rPr>
                <w:rFonts w:ascii="Segoe UI" w:hAnsi="Segoe UI" w:eastAsia="Segoe UI"/>
                <w:b w:val="0"/>
                <w:i w:val="0"/>
                <w:color w:val="1B2630"/>
                <w:sz w:val="15"/>
              </w:rPr>
              <w:t>Other Functionality, dan Project Setup</w:t>
            </w:r>
          </w:p>
        </w:tc>
      </w:tr>
    </w:tbl>
    <w:p>
      <w:pPr>
        <w:spacing w:before="0" w:after="80"/>
      </w:pPr>
      <w:r>
        <w:rPr>
          <w:rFonts w:ascii="Segoe UI" w:hAnsi="Segoe UI" w:eastAsia="Segoe UI"/>
          <w:b w:val="0"/>
          <w:i w:val="0"/>
          <w:color w:val="5A6A78"/>
          <w:sz w:val="17"/>
        </w:rPr>
        <w:t>Stap 1 tot 9 kun je vandaag doen; ze hangen niet aan de openstaande punten. Stap 10 is het grote werk en volgt pas als de drie punten hieronder beslecht zijn.</w:t>
      </w:r>
    </w:p>
    <w:p>
      <w:pPr>
        <w:spacing w:before="0" w:after="80"/>
      </w:pPr>
      <w:r>
        <w:rPr>
          <w:rFonts w:ascii="Segoe UI" w:hAnsi="Segoe UI" w:eastAsia="Segoe UI"/>
          <w:b w:val="0"/>
          <w:i w:val="0"/>
          <w:color w:val="5A6A78"/>
          <w:sz w:val="17"/>
        </w:rPr>
        <w:t>Wis de testrecords vóór je naar productie gaat. REDCap biedt dat aan bij het overzetten, maar een testrecord dat blijft staan, telt later mee in je PRISMA- en CONSORT-aantallen.</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Drie dingen die eerst beslist moeten worden</w:t>
      </w:r>
    </w:p>
    <w:p>
      <w:pPr>
        <w:spacing w:before="0" w:after="80"/>
      </w:pPr>
      <w:r>
        <w:rPr>
          <w:rFonts w:ascii="Segoe UI" w:hAnsi="Segoe UI" w:eastAsia="Segoe UI"/>
          <w:b w:val="0"/>
          <w:i w:val="0"/>
          <w:color w:val="1B2630"/>
          <w:sz w:val="19"/>
        </w:rPr>
        <w:t>Alle drie zitten ze in de structuur. Achteraf wijzigen kan wel, maar niet gratis: variabelenamen liggen dan vast en er zit data in.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494"/>
            <w:shd w:val="clear" w:color="auto" w:fill="1D8DB0"/>
          </w:tcPr>
          <w:p>
            <w:pPr>
              <w:spacing w:before="30" w:after="30" w:line="252" w:lineRule="auto"/>
            </w:pPr>
            <w:r/>
            <w:r>
              <w:rPr>
                <w:rFonts w:ascii="Segoe UI" w:hAnsi="Segoe UI" w:eastAsia="Segoe UI"/>
                <w:b/>
                <w:i w:val="0"/>
                <w:color w:val="FFFFFF"/>
                <w:sz w:val="15"/>
              </w:rPr>
              <w:t>Punt</w:t>
            </w:r>
          </w:p>
        </w:tc>
        <w:tc>
          <w:tcPr>
            <w:tcW w:type="dxa" w:w="368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85"/>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494"/>
          </w:tcPr>
          <w:p>
            <w:pPr>
              <w:spacing w:before="30" w:after="30" w:line="252" w:lineRule="auto"/>
            </w:pPr>
            <w:r/>
            <w:r>
              <w:rPr>
                <w:rFonts w:ascii="Segoe UI" w:hAnsi="Segoe UI" w:eastAsia="Segoe UI"/>
                <w:b w:val="0"/>
                <w:i w:val="0"/>
                <w:color w:val="1B2630"/>
                <w:sz w:val="15"/>
              </w:rPr>
              <w:t>Twee eCRF-sets met verschillende nummering — openstaand punt 6</w:t>
            </w:r>
          </w:p>
        </w:tc>
        <w:tc>
          <w:tcPr>
            <w:tcW w:type="dxa" w:w="3685"/>
          </w:tcPr>
          <w:p>
            <w:pPr>
              <w:spacing w:before="30" w:after="30" w:line="252" w:lineRule="auto"/>
            </w:pPr>
            <w:r/>
            <w:r>
              <w:rPr>
                <w:rFonts w:ascii="Segoe UI" w:hAnsi="Segoe UI" w:eastAsia="Segoe UI"/>
                <w:b w:val="0"/>
                <w:i w:val="0"/>
                <w:color w:val="1B2630"/>
                <w:sz w:val="15"/>
              </w:rPr>
              <w:t>De instrumentnamen en het hele variabelenschema hangen aan de nummering. Twee sets betekent twee onverenigbare schema’s.</w:t>
            </w:r>
          </w:p>
        </w:tc>
        <w:tc>
          <w:tcPr>
            <w:tcW w:type="dxa" w:w="3685"/>
          </w:tcPr>
          <w:p>
            <w:pPr>
              <w:spacing w:before="30" w:after="30" w:line="252" w:lineRule="auto"/>
            </w:pPr>
            <w:r/>
            <w:r>
              <w:rPr>
                <w:rFonts w:ascii="Segoe UI" w:hAnsi="Segoe UI" w:eastAsia="Segoe UI"/>
                <w:b w:val="0"/>
                <w:i w:val="0"/>
                <w:color w:val="1B2630"/>
                <w:sz w:val="15"/>
              </w:rPr>
              <w:t>Eén set officieel aanduiden. De skeletbestanden hier volgen de Nederlandse set 00–48 uit (e)CRF/Per nummer/.</w:t>
            </w:r>
          </w:p>
        </w:tc>
      </w:tr>
      <w:tr>
        <w:tc>
          <w:tcPr>
            <w:tcW w:type="dxa" w:w="2494"/>
          </w:tcPr>
          <w:p>
            <w:pPr>
              <w:spacing w:before="30" w:after="30" w:line="252" w:lineRule="auto"/>
            </w:pPr>
            <w:r/>
            <w:r>
              <w:rPr>
                <w:rFonts w:ascii="Segoe UI" w:hAnsi="Segoe UI" w:eastAsia="Segoe UI"/>
                <w:b w:val="0"/>
                <w:i w:val="0"/>
                <w:color w:val="1B2630"/>
                <w:sz w:val="15"/>
              </w:rPr>
              <w:t>eCRF 09 en 24 zijn achterhaald</w:t>
            </w:r>
          </w:p>
        </w:tc>
        <w:tc>
          <w:tcPr>
            <w:tcW w:type="dxa" w:w="3685"/>
          </w:tcPr>
          <w:p>
            <w:pPr>
              <w:spacing w:before="30" w:after="30" w:line="252" w:lineRule="auto"/>
            </w:pPr>
            <w:r/>
            <w:r>
              <w:rPr>
                <w:rFonts w:ascii="Segoe UI" w:hAnsi="Segoe UI" w:eastAsia="Segoe UI"/>
                <w:b w:val="0"/>
                <w:i w:val="0"/>
                <w:color w:val="1B2630"/>
                <w:sz w:val="15"/>
              </w:rPr>
              <w:t>De PI besliste op 11 september 2026 dat er niet blootsvoets gemeten wordt. eCRF 09 beschrijft nog een blootsvoetse baseline, eCRF 24 vraagt nog drie condities.</w:t>
            </w:r>
          </w:p>
        </w:tc>
        <w:tc>
          <w:tcPr>
            <w:tcW w:type="dxa" w:w="3685"/>
          </w:tcPr>
          <w:p>
            <w:pPr>
              <w:spacing w:before="30" w:after="30" w:line="252" w:lineRule="auto"/>
            </w:pPr>
            <w:r/>
            <w:r>
              <w:rPr>
                <w:rFonts w:ascii="Segoe UI" w:hAnsi="Segoe UI" w:eastAsia="Segoe UI"/>
                <w:b w:val="0"/>
                <w:i w:val="0"/>
                <w:color w:val="1B2630"/>
                <w:sz w:val="15"/>
              </w:rPr>
              <w:t>Beide formulieren bijwerken naar in-shoe, zónder en mét de CMFO in dezelfde sessie, vóór de velden in REDCap gebouwd worden.</w:t>
            </w:r>
          </w:p>
        </w:tc>
      </w:tr>
      <w:tr>
        <w:tc>
          <w:tcPr>
            <w:tcW w:type="dxa" w:w="2494"/>
          </w:tcPr>
          <w:p>
            <w:pPr>
              <w:spacing w:before="30" w:after="30" w:line="252" w:lineRule="auto"/>
            </w:pPr>
            <w:r/>
            <w:r>
              <w:rPr>
                <w:rFonts w:ascii="Segoe UI" w:hAnsi="Segoe UI" w:eastAsia="Segoe UI"/>
                <w:b w:val="0"/>
                <w:i w:val="0"/>
                <w:color w:val="1B2630"/>
                <w:sz w:val="15"/>
              </w:rPr>
              <w:t>eCRF 01 mist criteria — openstaand punt 2</w:t>
            </w:r>
          </w:p>
        </w:tc>
        <w:tc>
          <w:tcPr>
            <w:tcW w:type="dxa" w:w="3685"/>
          </w:tcPr>
          <w:p>
            <w:pPr>
              <w:spacing w:before="30" w:after="30" w:line="252" w:lineRule="auto"/>
            </w:pPr>
            <w:r/>
            <w:r>
              <w:rPr>
                <w:rFonts w:ascii="Segoe UI" w:hAnsi="Segoe UI" w:eastAsia="Segoe UI"/>
                <w:b w:val="0"/>
                <w:i w:val="0"/>
                <w:color w:val="1B2630"/>
                <w:sz w:val="15"/>
              </w:rPr>
              <w:t>PEDIS graad 3 en immunosuppressie ontbreken bij de exclusie, stabiele vaatstatus bij de inclusie. Bouw je het screeninginstrument hieruit, dan dwingt de databank de verkeerde geschiktheid af.</w:t>
            </w:r>
          </w:p>
        </w:tc>
        <w:tc>
          <w:tcPr>
            <w:tcW w:type="dxa" w:w="3685"/>
          </w:tcPr>
          <w:p>
            <w:pPr>
              <w:spacing w:before="30" w:after="30" w:line="252" w:lineRule="auto"/>
            </w:pPr>
            <w:r/>
            <w:r>
              <w:rPr>
                <w:rFonts w:ascii="Segoe UI" w:hAnsi="Segoe UI" w:eastAsia="Segoe UI"/>
                <w:b w:val="0"/>
                <w:i w:val="0"/>
                <w:color w:val="1B2630"/>
                <w:sz w:val="15"/>
              </w:rPr>
              <w:t>Aanvullen vóór de EC-indiening, en dus zeker vóór e01_screening gebouwd wordt.</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Het protocol zegt “aparte CRF’s per arm” maar benoemt niet welke. Ik heb de scheiding gelegd waar de interventie verschilt. Dat is een gevolgtrekking, geen vastgesteld feit, en ze staat in de mapping — dus corrigeer ze nu, niet later.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_oc met doeltoetsing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De terugkoppeling ís de interventie.</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De tweede MoveMonitorweek op maand 6 staat in §3.2.2.2 en §5.4.5 van het protocol, maar niet in de opsomming van visites 3 tot 8 — dat is openstaand punt 4. Ik heb ze in de mapping gezet op visite 4, met eCRF 20 en 27. Klopt dat niet, haal die twee regels uit het mappingbestand.</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toestemming ja of nee, en de datum.</w:t>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de in- en exclusiecriteria.</w:t>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e07_med_voorgeschiedenis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ae_sae_form_imd_within_ce_label en device_deficiency_dd_form.</w:t>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keepNext/>
        <w:spacing w:before="240" w:after="60"/>
      </w:pPr>
      <w:r>
        <w:rPr>
          <w:rFonts w:ascii="Segoe UI" w:hAnsi="Segoe UI" w:eastAsia="Segoe UI"/>
          <w:b/>
          <w:i w:val="0"/>
          <w:color w:val="FF7A00"/>
          <w:sz w:val="22"/>
        </w:rPr>
        <w:t xml:space="preserve">11  </w:t>
      </w:r>
      <w:r>
        <w:rPr>
          <w:rFonts w:ascii="Segoe UI" w:hAnsi="Segoe UI" w:eastAsia="Segoe UI"/>
          <w:b/>
          <w:i w:val="0"/>
          <w:color w:val="00407A"/>
          <w:sz w:val="22"/>
        </w:rPr>
        <w:t>Wat ik in de CTU-template heb rechtgezet</w:t>
      </w:r>
    </w:p>
    <w:p>
      <w:pPr>
        <w:spacing w:before="0" w:after="80"/>
      </w:pPr>
      <w:r>
        <w:rPr>
          <w:rFonts w:ascii="Segoe UI" w:hAnsi="Segoe UI" w:eastAsia="Segoe UI"/>
          <w:b w:val="0"/>
          <w:i w:val="0"/>
          <w:color w:val="1B2630"/>
          <w:sz w:val="19"/>
        </w:rPr>
        <w:t>De template is generiek en komt uit een ander project. De negen punten hieronder zijn verwerkt in data_dictionary_PARADISE.csv. Het origineel blijft ongemoeid in RedCap Data dictionairy.xlsx, zodat alles terug te vinden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Wat</w:t>
            </w:r>
          </w:p>
        </w:tc>
        <w:tc>
          <w:tcPr>
            <w:tcW w:type="dxa" w:w="3175"/>
            <w:shd w:val="clear" w:color="auto" w:fill="1D8DB0"/>
          </w:tcPr>
          <w:p>
            <w:pPr>
              <w:spacing w:before="30" w:after="30" w:line="252" w:lineRule="auto"/>
            </w:pPr>
            <w:r/>
            <w:r>
              <w:rPr>
                <w:rFonts w:ascii="Segoe UI" w:hAnsi="Segoe UI" w:eastAsia="Segoe UI"/>
                <w:b/>
                <w:i w:val="0"/>
                <w:color w:val="FFFFFF"/>
                <w:sz w:val="15"/>
              </w:rPr>
              <w:t>Waarom</w:t>
            </w:r>
          </w:p>
        </w:tc>
        <w:tc>
          <w:tcPr>
            <w:tcW w:type="dxa" w:w="4422"/>
            <w:shd w:val="clear" w:color="auto" w:fill="1D8DB0"/>
          </w:tcPr>
          <w:p>
            <w:pPr>
              <w:spacing w:before="30" w:after="30" w:line="252" w:lineRule="auto"/>
            </w:pPr>
            <w:r/>
            <w:r>
              <w:rPr>
                <w:rFonts w:ascii="Segoe UI" w:hAnsi="Segoe UI" w:eastAsia="Segoe UI"/>
                <w:b/>
                <w:i w:val="0"/>
                <w:color w:val="FFFFFF"/>
                <w:sz w:val="15"/>
              </w:rPr>
              <w:t>Wat er nu staat</w:t>
            </w:r>
          </w:p>
        </w:tc>
      </w:tr>
      <w:tr>
        <w:tc>
          <w:tcPr>
            <w:tcW w:type="dxa" w:w="2268"/>
          </w:tcPr>
          <w:p>
            <w:pPr>
              <w:spacing w:before="30" w:after="30" w:line="252" w:lineRule="auto"/>
            </w:pPr>
            <w:r/>
            <w:r>
              <w:rPr>
                <w:rFonts w:ascii="Segoe UI" w:hAnsi="Segoe UI" w:eastAsia="Segoe UI"/>
                <w:b w:val="0"/>
                <w:i w:val="0"/>
                <w:color w:val="1B2630"/>
                <w:sz w:val="15"/>
              </w:rPr>
              <w:t>Twee AE/SAE-formulieren van elk 55 velden</w:t>
            </w:r>
          </w:p>
        </w:tc>
        <w:tc>
          <w:tcPr>
            <w:tcW w:type="dxa" w:w="3175"/>
          </w:tcPr>
          <w:p>
            <w:pPr>
              <w:spacing w:before="30" w:after="30" w:line="252" w:lineRule="auto"/>
            </w:pPr>
            <w:r/>
            <w:r>
              <w:rPr>
                <w:rFonts w:ascii="Segoe UI" w:hAnsi="Segoe UI" w:eastAsia="Segoe UI"/>
                <w:b w:val="0"/>
                <w:i w:val="0"/>
                <w:color w:val="1B2630"/>
                <w:sz w:val="15"/>
              </w:rPr>
              <w:t>Er geldt er één, en je eCRF-set heeft er ook maar één: eCRF 46.</w:t>
            </w:r>
          </w:p>
        </w:tc>
        <w:tc>
          <w:tcPr>
            <w:tcW w:type="dxa" w:w="4422"/>
          </w:tcPr>
          <w:p>
            <w:pPr>
              <w:spacing w:before="30" w:after="30" w:line="252" w:lineRule="auto"/>
            </w:pPr>
            <w:r/>
            <w:r>
              <w:rPr>
                <w:rFonts w:ascii="Segoe UI" w:hAnsi="Segoe UI" w:eastAsia="Segoe UI"/>
                <w:b w:val="0"/>
                <w:i w:val="0"/>
                <w:color w:val="1B2630"/>
                <w:sz w:val="15"/>
              </w:rPr>
              <w:t>De variant voor een CE-gemarkeerd hulpmiddel binnen zijn label is behouden, want dat is wat PARADISE gebruikt. Ze bleek inhoudelijk te verschillen van de andere — uitgeschreven ernstdefinities en een attestatie op naam van de PI — en draagt nu de schone variabelenamen van de verwijderde variant. Ze heet ae_sae_form_imd_within_ce_label.</w:t>
            </w:r>
          </w:p>
        </w:tc>
      </w:tr>
      <w:tr>
        <w:tc>
          <w:tcPr>
            <w:tcW w:type="dxa" w:w="2268"/>
          </w:tcPr>
          <w:p>
            <w:pPr>
              <w:spacing w:before="30" w:after="30" w:line="252" w:lineRule="auto"/>
            </w:pPr>
            <w:r/>
            <w:r>
              <w:rPr>
                <w:rFonts w:ascii="Segoe UI" w:hAnsi="Segoe UI" w:eastAsia="Segoe UI"/>
                <w:b w:val="0"/>
                <w:i w:val="0"/>
                <w:color w:val="1B2630"/>
                <w:sz w:val="15"/>
              </w:rPr>
              <w:t>Vier variabelenamen waren 27 tekens</w:t>
            </w:r>
          </w:p>
        </w:tc>
        <w:tc>
          <w:tcPr>
            <w:tcW w:type="dxa" w:w="3175"/>
          </w:tcPr>
          <w:p>
            <w:pPr>
              <w:spacing w:before="30" w:after="30" w:line="252" w:lineRule="auto"/>
            </w:pPr>
            <w:r/>
            <w:r>
              <w:rPr>
                <w:rFonts w:ascii="Segoe UI" w:hAnsi="Segoe UI" w:eastAsia="Segoe UI"/>
                <w:b w:val="0"/>
                <w:i w:val="0"/>
                <w:color w:val="1B2630"/>
                <w:sz w:val="15"/>
              </w:rPr>
              <w:t>REDCap weigert bij de import alles boven 26 tekens.</w:t>
            </w:r>
          </w:p>
        </w:tc>
        <w:tc>
          <w:tcPr>
            <w:tcW w:type="dxa" w:w="4422"/>
          </w:tcPr>
          <w:p>
            <w:pPr>
              <w:spacing w:before="30" w:after="30" w:line="252" w:lineRule="auto"/>
            </w:pPr>
            <w:r/>
            <w:r>
              <w:rPr>
                <w:rFonts w:ascii="Segoe UI" w:hAnsi="Segoe UI" w:eastAsia="Segoe UI"/>
                <w:b w:val="0"/>
                <w:i w:val="0"/>
                <w:color w:val="1B2630"/>
                <w:sz w:val="15"/>
              </w:rPr>
              <w:t>Opgelost: die namen zaten in het formulier dat verdween.</w:t>
            </w:r>
          </w:p>
        </w:tc>
      </w:tr>
      <w:tr>
        <w:tc>
          <w:tcPr>
            <w:tcW w:type="dxa" w:w="2268"/>
          </w:tcPr>
          <w:p>
            <w:pPr>
              <w:spacing w:before="30" w:after="30" w:line="252" w:lineRule="auto"/>
            </w:pPr>
            <w:r/>
            <w:r>
              <w:rPr>
                <w:rFonts w:ascii="Segoe UI" w:hAnsi="Segoe UI" w:eastAsia="Segoe UI"/>
                <w:b w:val="0"/>
                <w:i w:val="0"/>
                <w:color w:val="1B2630"/>
                <w:sz w:val="15"/>
              </w:rPr>
              <w:t>Twee causaliteitsvelden waren dubbel</w:t>
            </w:r>
          </w:p>
        </w:tc>
        <w:tc>
          <w:tcPr>
            <w:tcW w:type="dxa" w:w="3175"/>
          </w:tcPr>
          <w:p>
            <w:pPr>
              <w:spacing w:before="30" w:after="30" w:line="252" w:lineRule="auto"/>
            </w:pPr>
            <w:r/>
            <w:r>
              <w:rPr>
                <w:rFonts w:ascii="Segoe UI" w:hAnsi="Segoe UI" w:eastAsia="Segoe UI"/>
                <w:b w:val="0"/>
                <w:i w:val="0"/>
                <w:color w:val="1B2630"/>
                <w:sz w:val="15"/>
              </w:rPr>
              <w:t>De template draagt een variant voor een monocentrische en één voor een multicentrische studie, met een notitie aan de ontwikkelaar om te kiezen.</w:t>
            </w:r>
          </w:p>
        </w:tc>
        <w:tc>
          <w:tcPr>
            <w:tcW w:type="dxa" w:w="4422"/>
          </w:tcPr>
          <w:p>
            <w:pPr>
              <w:spacing w:before="30" w:after="30" w:line="252" w:lineRule="auto"/>
            </w:pPr>
            <w:r/>
            <w:r>
              <w:rPr>
                <w:rFonts w:ascii="Segoe UI" w:hAnsi="Segoe UI" w:eastAsia="Segoe UI"/>
                <w:b w:val="0"/>
                <w:i w:val="0"/>
                <w:color w:val="1B2630"/>
                <w:sz w:val="15"/>
              </w:rPr>
              <w:t>PARADISE loopt in zes centra, dus de multicentrische variant blijft staan. De twee monocentrische velden zijn verwijderd en de notitie is uit beide labels gehaald.</w:t>
            </w:r>
          </w:p>
        </w:tc>
      </w:tr>
      <w:tr>
        <w:tc>
          <w:tcPr>
            <w:tcW w:type="dxa" w:w="2268"/>
          </w:tcPr>
          <w:p>
            <w:pPr>
              <w:spacing w:before="30" w:after="30" w:line="252" w:lineRule="auto"/>
            </w:pPr>
            <w:r/>
            <w:r>
              <w:rPr>
                <w:rFonts w:ascii="Segoe UI" w:hAnsi="Segoe UI" w:eastAsia="Segoe UI"/>
                <w:b w:val="0"/>
                <w:i w:val="0"/>
                <w:color w:val="1B2630"/>
                <w:sz w:val="15"/>
              </w:rPr>
              <w:t>Vijf labels verwezen naar events die niet bestaan</w:t>
            </w:r>
          </w:p>
        </w:tc>
        <w:tc>
          <w:tcPr>
            <w:tcW w:type="dxa" w:w="3175"/>
          </w:tcPr>
          <w:p>
            <w:pPr>
              <w:spacing w:before="30" w:after="30" w:line="252" w:lineRule="auto"/>
            </w:pPr>
            <w:r/>
            <w:r>
              <w:rPr>
                <w:rFonts w:ascii="Segoe UI" w:hAnsi="Segoe UI" w:eastAsia="Segoe UI"/>
                <w:b w:val="0"/>
                <w:i w:val="0"/>
                <w:color w:val="1B2630"/>
                <w:sz w:val="15"/>
              </w:rPr>
              <w:t>[adverse_event_arm_1] en [concomitant_medica_arm_1] zijn resten van het bronproject.</w:t>
            </w:r>
          </w:p>
        </w:tc>
        <w:tc>
          <w:tcPr>
            <w:tcW w:type="dxa" w:w="4422"/>
          </w:tcPr>
          <w:p>
            <w:pPr>
              <w:spacing w:before="30" w:after="30" w:line="252" w:lineRule="auto"/>
            </w:pPr>
            <w:r/>
            <w:r>
              <w:rPr>
                <w:rFonts w:ascii="Segoe UI" w:hAnsi="Segoe UI" w:eastAsia="Segoe UI"/>
                <w:b w:val="0"/>
                <w:i w:val="0"/>
                <w:color w:val="1B2630"/>
                <w:sz w:val="15"/>
              </w:rPr>
              <w:t>Staan bron en doel op hetzelfde event, dan is de link behouden zonder eventprefix — dat geldt voor concomitant_therapy vanaf het bezoekformulier. Staan ze op verschillende events, dan is de link vervangen door instructietekst, omdat een vaste eventlink met twee armen maar voor één arm werkt.</w:t>
            </w:r>
          </w:p>
        </w:tc>
      </w:tr>
      <w:tr>
        <w:tc>
          <w:tcPr>
            <w:tcW w:type="dxa" w:w="2268"/>
          </w:tcPr>
          <w:p>
            <w:pPr>
              <w:spacing w:before="30" w:after="30" w:line="252" w:lineRule="auto"/>
            </w:pPr>
            <w:r/>
            <w:r>
              <w:rPr>
                <w:rFonts w:ascii="Segoe UI" w:hAnsi="Segoe UI" w:eastAsia="Segoe UI"/>
                <w:b w:val="0"/>
                <w:i w:val="0"/>
                <w:color w:val="1B2630"/>
                <w:sz w:val="15"/>
              </w:rPr>
              <w:t>Twee labels toonden [ae_total]</w:t>
            </w:r>
          </w:p>
        </w:tc>
        <w:tc>
          <w:tcPr>
            <w:tcW w:type="dxa" w:w="3175"/>
          </w:tcPr>
          <w:p>
            <w:pPr>
              <w:spacing w:before="30" w:after="30" w:line="252" w:lineRule="auto"/>
            </w:pPr>
            <w:r/>
            <w:r>
              <w:rPr>
                <w:rFonts w:ascii="Segoe UI" w:hAnsi="Segoe UI" w:eastAsia="Segoe UI"/>
                <w:b w:val="0"/>
                <w:i w:val="0"/>
                <w:color w:val="1B2630"/>
                <w:sz w:val="15"/>
              </w:rPr>
              <w:t>Die variabele bestond nergens.</w:t>
            </w:r>
          </w:p>
        </w:tc>
        <w:tc>
          <w:tcPr>
            <w:tcW w:type="dxa" w:w="4422"/>
          </w:tcPr>
          <w:p>
            <w:pPr>
              <w:spacing w:before="30" w:after="30" w:line="252" w:lineRule="auto"/>
            </w:pPr>
            <w:r/>
            <w:r>
              <w:rPr>
                <w:rFonts w:ascii="Segoe UI" w:hAnsi="Segoe UI" w:eastAsia="Segoe UI"/>
                <w:b w:val="0"/>
                <w:i w:val="0"/>
                <w:color w:val="1B2630"/>
                <w:sz w:val="15"/>
              </w:rPr>
              <w:t>De zinnen die ernaar verwezen zijn weg. Een teller toevoegen had niet geholpen: ze zou op een ander event staan dan waar ze getoond werd.</w:t>
            </w:r>
          </w:p>
        </w:tc>
      </w:tr>
      <w:tr>
        <w:tc>
          <w:tcPr>
            <w:tcW w:type="dxa" w:w="2268"/>
          </w:tcPr>
          <w:p>
            <w:pPr>
              <w:spacing w:before="30" w:after="30" w:line="252" w:lineRule="auto"/>
            </w:pPr>
            <w:r/>
            <w:r>
              <w:rPr>
                <w:rFonts w:ascii="Segoe UI" w:hAnsi="Segoe UI" w:eastAsia="Segoe UI"/>
                <w:b w:val="0"/>
                <w:i w:val="0"/>
                <w:color w:val="1B2630"/>
                <w:sz w:val="15"/>
              </w:rPr>
              <w:t>randomization had geen toewijzingsveld</w:t>
            </w:r>
          </w:p>
        </w:tc>
        <w:tc>
          <w:tcPr>
            <w:tcW w:type="dxa" w:w="3175"/>
          </w:tcPr>
          <w:p>
            <w:pPr>
              <w:spacing w:before="30" w:after="30" w:line="252" w:lineRule="auto"/>
            </w:pPr>
            <w:r/>
            <w:r>
              <w:rPr>
                <w:rFonts w:ascii="Segoe UI" w:hAnsi="Segoe UI" w:eastAsia="Segoe UI"/>
                <w:b w:val="0"/>
                <w:i w:val="0"/>
                <w:color w:val="1B2630"/>
                <w:sz w:val="15"/>
              </w:rPr>
              <w:t>Vijf velden, alle vijf beschrijvend. De toewijzing zelf werd nergens vastgelegd.</w:t>
            </w:r>
          </w:p>
        </w:tc>
        <w:tc>
          <w:tcPr>
            <w:tcW w:type="dxa" w:w="4422"/>
          </w:tcPr>
          <w:p>
            <w:pPr>
              <w:spacing w:before="30" w:after="30" w:line="252" w:lineRule="auto"/>
            </w:pPr>
            <w:r/>
            <w:r>
              <w:rPr>
                <w:rFonts w:ascii="Segoe UI" w:hAnsi="Segoe UI" w:eastAsia="Segoe UI"/>
                <w:b w:val="0"/>
                <w:i w:val="0"/>
                <w:color w:val="1B2630"/>
                <w:sz w:val="15"/>
              </w:rPr>
              <w:t>Vier velden toegevoegd: datum, envelopnummer, toegewezen arm, en de initialen van wie de envelop opende. De eerste drie zijn verplicht.</w:t>
            </w:r>
          </w:p>
        </w:tc>
      </w:tr>
      <w:tr>
        <w:tc>
          <w:tcPr>
            <w:tcW w:type="dxa" w:w="2268"/>
          </w:tcPr>
          <w:p>
            <w:pPr>
              <w:spacing w:before="30" w:after="30" w:line="252" w:lineRule="auto"/>
            </w:pPr>
            <w:r/>
            <w:r>
              <w:rPr>
                <w:rFonts w:ascii="Segoe UI" w:hAnsi="Segoe UI" w:eastAsia="Segoe UI"/>
                <w:b w:val="0"/>
                <w:i w:val="0"/>
                <w:color w:val="1B2630"/>
                <w:sz w:val="15"/>
              </w:rPr>
              <w:t>eligibility stond alleen op visite 0</w:t>
            </w:r>
          </w:p>
        </w:tc>
        <w:tc>
          <w:tcPr>
            <w:tcW w:type="dxa" w:w="3175"/>
          </w:tcPr>
          <w:p>
            <w:pPr>
              <w:spacing w:before="30" w:after="30" w:line="252" w:lineRule="auto"/>
            </w:pPr>
            <w:r/>
            <w:r>
              <w:rPr>
                <w:rFonts w:ascii="Segoe UI" w:hAnsi="Segoe UI" w:eastAsia="Segoe UI"/>
                <w:b w:val="0"/>
                <w:i w:val="0"/>
                <w:color w:val="1B2630"/>
                <w:sz w:val="15"/>
              </w:rPr>
              <w:t>Het formulier draagt de velden voor screenfalen, en screening gebeurt vóór de toestemming.</w:t>
            </w:r>
          </w:p>
        </w:tc>
        <w:tc>
          <w:tcPr>
            <w:tcW w:type="dxa" w:w="4422"/>
          </w:tcPr>
          <w:p>
            <w:pPr>
              <w:spacing w:before="30" w:after="30" w:line="252" w:lineRule="auto"/>
            </w:pPr>
            <w:r/>
            <w:r>
              <w:rPr>
                <w:rFonts w:ascii="Segoe UI" w:hAnsi="Segoe UI" w:eastAsia="Segoe UI"/>
                <w:b w:val="0"/>
                <w:i w:val="0"/>
                <w:color w:val="1B2630"/>
                <w:sz w:val="15"/>
              </w:rPr>
              <w:t>Staat nu ook op het screening-event, in beide armen.</w:t>
            </w:r>
          </w:p>
        </w:tc>
      </w:tr>
      <w:tr>
        <w:tc>
          <w:tcPr>
            <w:tcW w:type="dxa" w:w="2268"/>
          </w:tcPr>
          <w:p>
            <w:pPr>
              <w:spacing w:before="30" w:after="30" w:line="252" w:lineRule="auto"/>
            </w:pPr>
            <w:r/>
            <w:r>
              <w:rPr>
                <w:rFonts w:ascii="Segoe UI" w:hAnsi="Segoe UI" w:eastAsia="Segoe UI"/>
                <w:b w:val="0"/>
                <w:i w:val="0"/>
                <w:color w:val="1B2630"/>
                <w:sz w:val="15"/>
              </w:rPr>
              <w:t>demo_sex droeg een instructie in het label</w:t>
            </w:r>
          </w:p>
        </w:tc>
        <w:tc>
          <w:tcPr>
            <w:tcW w:type="dxa" w:w="3175"/>
          </w:tcPr>
          <w:p>
            <w:pPr>
              <w:spacing w:before="30" w:after="30" w:line="252" w:lineRule="auto"/>
            </w:pPr>
            <w:r/>
            <w:r>
              <w:rPr>
                <w:rFonts w:ascii="Segoe UI" w:hAnsi="Segoe UI" w:eastAsia="Segoe UI"/>
                <w:b w:val="0"/>
                <w:i w:val="0"/>
                <w:color w:val="1B2630"/>
                <w:sz w:val="15"/>
              </w:rPr>
              <w:t>Het label eindigde op “REMOVE DATA FIELD IF NO ADDED VALUE”.</w:t>
            </w:r>
          </w:p>
        </w:tc>
        <w:tc>
          <w:tcPr>
            <w:tcW w:type="dxa" w:w="4422"/>
          </w:tcPr>
          <w:p>
            <w:pPr>
              <w:spacing w:before="30" w:after="30" w:line="252" w:lineRule="auto"/>
            </w:pPr>
            <w:r/>
            <w:r>
              <w:rPr>
                <w:rFonts w:ascii="Segoe UI" w:hAnsi="Segoe UI" w:eastAsia="Segoe UI"/>
                <w:b w:val="0"/>
                <w:i w:val="0"/>
                <w:color w:val="1B2630"/>
                <w:sz w:val="15"/>
              </w:rPr>
              <w:t>Instructie weg, veld behouden — geslacht staat in de Core Descriptor Set.</w:t>
            </w:r>
          </w:p>
        </w:tc>
      </w:tr>
      <w:tr>
        <w:tc>
          <w:tcPr>
            <w:tcW w:type="dxa" w:w="2268"/>
          </w:tcPr>
          <w:p>
            <w:pPr>
              <w:spacing w:before="30" w:after="30" w:line="252" w:lineRule="auto"/>
            </w:pPr>
            <w:r/>
            <w:r>
              <w:rPr>
                <w:rFonts w:ascii="Segoe UI" w:hAnsi="Segoe UI" w:eastAsia="Segoe UI"/>
                <w:b w:val="0"/>
                <w:i w:val="0"/>
                <w:color w:val="1B2630"/>
                <w:sz w:val="15"/>
              </w:rPr>
              <w:t>elcr_inclusion had generieke keuzes</w:t>
            </w:r>
          </w:p>
        </w:tc>
        <w:tc>
          <w:tcPr>
            <w:tcW w:type="dxa" w:w="3175"/>
          </w:tcPr>
          <w:p>
            <w:pPr>
              <w:spacing w:before="30" w:after="30" w:line="252" w:lineRule="auto"/>
            </w:pPr>
            <w:r/>
            <w:r>
              <w:rPr>
                <w:rFonts w:ascii="Segoe UI" w:hAnsi="Segoe UI" w:eastAsia="Segoe UI"/>
                <w:b w:val="0"/>
                <w:i w:val="0"/>
                <w:color w:val="1B2630"/>
                <w:sz w:val="15"/>
              </w:rPr>
              <w:t>De lijst zei “Inclusion criterion 1, 2, 3”.</w:t>
            </w:r>
          </w:p>
        </w:tc>
        <w:tc>
          <w:tcPr>
            <w:tcW w:type="dxa" w:w="4422"/>
          </w:tcPr>
          <w:p>
            <w:pPr>
              <w:spacing w:before="30" w:after="30" w:line="252" w:lineRule="auto"/>
            </w:pPr>
            <w:r/>
            <w:r>
              <w:rPr>
                <w:rFonts w:ascii="Segoe UI" w:hAnsi="Segoe UI" w:eastAsia="Segoe UI"/>
                <w:b w:val="0"/>
                <w:i w:val="0"/>
                <w:color w:val="1B2630"/>
                <w:sz w:val="15"/>
              </w:rPr>
              <w:t>Gevuld met de zes inclusie- en negen exclusiecriteria uit §3 van PARADISE_BRONNEN.md.</w:t>
            </w:r>
          </w:p>
        </w:tc>
      </w:tr>
    </w:tbl>
    <w:p>
      <w:pPr>
        <w:keepNext/>
        <w:spacing w:before="240" w:after="60"/>
      </w:pPr>
      <w:r>
        <w:rPr>
          <w:rFonts w:ascii="Segoe UI" w:hAnsi="Segoe UI" w:eastAsia="Segoe UI"/>
          <w:b/>
          <w:i w:val="0"/>
          <w:color w:val="FF7A00"/>
          <w:sz w:val="22"/>
        </w:rPr>
        <w:t xml:space="preserve">12  </w:t>
      </w:r>
      <w:r>
        <w:rPr>
          <w:rFonts w:ascii="Segoe UI" w:hAnsi="Segoe UI" w:eastAsia="Segoe UI"/>
          <w:b/>
          <w:i w:val="0"/>
          <w:color w:val="00407A"/>
          <w:sz w:val="22"/>
        </w:rPr>
        <w:t>Wat er in de template nog openstaat</w:t>
      </w:r>
    </w:p>
    <w:p>
      <w:pPr>
        <w:spacing w:before="0" w:after="80"/>
      </w:pPr>
      <w:r>
        <w:rPr>
          <w:rFonts w:ascii="Segoe UI" w:hAnsi="Segoe UI" w:eastAsia="Segoe UI"/>
          <w:b w:val="0"/>
          <w:i w:val="0"/>
          <w:color w:val="1B2630"/>
          <w:sz w:val="19"/>
        </w:rPr>
        <w:t>Dit kan ik niet invullen, want het vraagt gegevens of beslissingen die ik niet heb.</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2608"/>
            <w:shd w:val="clear" w:color="auto" w:fill="1D8DB0"/>
          </w:tcPr>
          <w:p>
            <w:pPr>
              <w:spacing w:before="30" w:after="30" w:line="252" w:lineRule="auto"/>
            </w:pPr>
            <w:r/>
            <w:r>
              <w:rPr>
                <w:rFonts w:ascii="Segoe UI" w:hAnsi="Segoe UI" w:eastAsia="Segoe UI"/>
                <w:b/>
                <w:i w:val="0"/>
                <w:color w:val="FFFFFF"/>
                <w:sz w:val="15"/>
              </w:rPr>
              <w:t>Wat</w:t>
            </w:r>
          </w:p>
        </w:tc>
        <w:tc>
          <w:tcPr>
            <w:tcW w:type="dxa" w:w="7257"/>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608"/>
          </w:tcPr>
          <w:p>
            <w:pPr>
              <w:spacing w:before="30" w:after="30" w:line="252" w:lineRule="auto"/>
            </w:pPr>
            <w:r/>
            <w:r>
              <w:rPr>
                <w:rFonts w:ascii="Segoe UI" w:hAnsi="Segoe UI" w:eastAsia="Segoe UI"/>
                <w:b w:val="0"/>
                <w:i w:val="0"/>
                <w:color w:val="1B2630"/>
                <w:sz w:val="15"/>
              </w:rPr>
              <w:t>Acht versieplaceholders</w:t>
            </w:r>
          </w:p>
        </w:tc>
        <w:tc>
          <w:tcPr>
            <w:tcW w:type="dxa" w:w="7257"/>
          </w:tcPr>
          <w:p>
            <w:pPr>
              <w:spacing w:before="30" w:after="30" w:line="252" w:lineRule="auto"/>
            </w:pPr>
            <w:r/>
            <w:r>
              <w:rPr>
                <w:rFonts w:ascii="Segoe UI" w:hAnsi="Segoe UI" w:eastAsia="Segoe UI"/>
                <w:b w:val="0"/>
                <w:i w:val="0"/>
                <w:color w:val="1B2630"/>
                <w:sz w:val="15"/>
              </w:rPr>
              <w:t>De velden *_version_* zeggen “eCRF version X.0 - Protocol version X.0”. Invullen met de echte nummers en de datum, en gelijk houden met wat je bij de EC indient.</w:t>
            </w:r>
          </w:p>
        </w:tc>
      </w:tr>
      <w:tr>
        <w:tc>
          <w:tcPr>
            <w:tcW w:type="dxa" w:w="2608"/>
          </w:tcPr>
          <w:p>
            <w:pPr>
              <w:spacing w:before="30" w:after="30" w:line="252" w:lineRule="auto"/>
            </w:pPr>
            <w:r/>
            <w:r>
              <w:rPr>
                <w:rFonts w:ascii="Segoe UI" w:hAnsi="Segoe UI" w:eastAsia="Segoe UI"/>
                <w:b w:val="0"/>
                <w:i w:val="0"/>
                <w:color w:val="1B2630"/>
                <w:sz w:val="15"/>
              </w:rPr>
              <w:t>Vier velden “Note to eCRF developer”</w:t>
            </w:r>
          </w:p>
        </w:tc>
        <w:tc>
          <w:tcPr>
            <w:tcW w:type="dxa" w:w="7257"/>
          </w:tcPr>
          <w:p>
            <w:pPr>
              <w:spacing w:before="30" w:after="30" w:line="252" w:lineRule="auto"/>
            </w:pPr>
            <w:r/>
            <w:r>
              <w:rPr>
                <w:rFonts w:ascii="Segoe UI" w:hAnsi="Segoe UI" w:eastAsia="Segoe UI"/>
                <w:b w:val="0"/>
                <w:i w:val="0"/>
                <w:color w:val="1B2630"/>
                <w:sz w:val="15"/>
              </w:rPr>
              <w:t>note_1_dev, note_2_dev, note_3_dev en note_5_dev_dd dragen opdrachten over alerts die je moet configureren en over projectspecifieke velden. Lees ze, voer ze uit, en verwijder ze daarna — ze horen niet op het scherm van wie data invoert.</w:t>
            </w:r>
          </w:p>
        </w:tc>
      </w:tr>
      <w:tr>
        <w:tc>
          <w:tcPr>
            <w:tcW w:type="dxa" w:w="2608"/>
          </w:tcPr>
          <w:p>
            <w:pPr>
              <w:spacing w:before="30" w:after="30" w:line="252" w:lineRule="auto"/>
            </w:pPr>
            <w:r/>
            <w:r>
              <w:rPr>
                <w:rFonts w:ascii="Segoe UI" w:hAnsi="Segoe UI" w:eastAsia="Segoe UI"/>
                <w:b w:val="0"/>
                <w:i w:val="0"/>
                <w:color w:val="1B2630"/>
                <w:sz w:val="15"/>
              </w:rPr>
              <w:t>Drie werkvariabelen in randomization</w:t>
            </w:r>
          </w:p>
        </w:tc>
        <w:tc>
          <w:tcPr>
            <w:tcW w:type="dxa" w:w="7257"/>
          </w:tcPr>
          <w:p>
            <w:pPr>
              <w:spacing w:before="30" w:after="30" w:line="252" w:lineRule="auto"/>
            </w:pPr>
            <w:r/>
            <w:r>
              <w:rPr>
                <w:rFonts w:ascii="Segoe UI" w:hAnsi="Segoe UI" w:eastAsia="Segoe UI"/>
                <w:b w:val="0"/>
                <w:i w:val="0"/>
                <w:color w:val="1B2630"/>
                <w:sz w:val="15"/>
              </w:rPr>
              <w:t>rand_email_work, rand_site_work en rand_name_work voeden een bevestigingsmail met de smart variables [user-email], [user-dag-label] en [user-fullname]. Ze doen niets tot je die alert aanmaakt. Maak hem aan, of haal de drie velden weg.</w:t>
            </w:r>
          </w:p>
        </w:tc>
      </w:tr>
      <w:tr>
        <w:tc>
          <w:tcPr>
            <w:tcW w:type="dxa" w:w="2608"/>
          </w:tcPr>
          <w:p>
            <w:pPr>
              <w:spacing w:before="30" w:after="30" w:line="252" w:lineRule="auto"/>
            </w:pPr>
            <w:r/>
            <w:r>
              <w:rPr>
                <w:rFonts w:ascii="Segoe UI" w:hAnsi="Segoe UI" w:eastAsia="Segoe UI"/>
                <w:b w:val="0"/>
                <w:i w:val="0"/>
                <w:color w:val="1B2630"/>
                <w:sz w:val="15"/>
              </w:rPr>
              <w:t>concomitant_therapy moet herhalend zijn</w:t>
            </w:r>
          </w:p>
        </w:tc>
        <w:tc>
          <w:tcPr>
            <w:tcW w:type="dxa" w:w="7257"/>
          </w:tcPr>
          <w:p>
            <w:pPr>
              <w:spacing w:before="30" w:after="30" w:line="252" w:lineRule="auto"/>
            </w:pPr>
            <w:r/>
            <w:r>
              <w:rPr>
                <w:rFonts w:ascii="Segoe UI" w:hAnsi="Segoe UI" w:eastAsia="Segoe UI"/>
                <w:b w:val="0"/>
                <w:i w:val="0"/>
                <w:color w:val="1B2630"/>
                <w:sz w:val="15"/>
              </w:rPr>
              <w:t>Het veld contx_total rekent met [last-instance]. Dat werkt alleen als het formulier als herhalend instrument is ingesteld op de bezoek-events. Geen optie dus, maar een vereiste; ze staat daarom in stap 5 van de opbouw.</w:t>
            </w:r>
          </w:p>
        </w:tc>
      </w:tr>
      <w:tr>
        <w:tc>
          <w:tcPr>
            <w:tcW w:type="dxa" w:w="2608"/>
          </w:tcPr>
          <w:p>
            <w:pPr>
              <w:spacing w:before="30" w:after="30" w:line="252" w:lineRule="auto"/>
            </w:pPr>
            <w:r/>
            <w:r>
              <w:rPr>
                <w:rFonts w:ascii="Segoe UI" w:hAnsi="Segoe UI" w:eastAsia="Segoe UI"/>
                <w:b w:val="0"/>
                <w:i w:val="0"/>
                <w:color w:val="1B2630"/>
                <w:sz w:val="15"/>
              </w:rPr>
              <w:t>Het MedDRA-veld hangt aan BioPortal</w:t>
            </w:r>
          </w:p>
        </w:tc>
        <w:tc>
          <w:tcPr>
            <w:tcW w:type="dxa" w:w="7257"/>
          </w:tcPr>
          <w:p>
            <w:pPr>
              <w:spacing w:before="30" w:after="30" w:line="252" w:lineRule="auto"/>
            </w:pPr>
            <w:r/>
            <w:r>
              <w:rPr>
                <w:rFonts w:ascii="Segoe UI" w:hAnsi="Segoe UI" w:eastAsia="Segoe UI"/>
                <w:b w:val="0"/>
                <w:i w:val="0"/>
                <w:color w:val="1B2630"/>
                <w:sz w:val="15"/>
              </w:rPr>
              <w:t>ae_medra_v2 is een tekstveld met BIOPORTAL:MEDDRA als bron — de ontologie-autoaanvulling van REDCap. Dat vraagt BioPortal-integratie op je instantie én toegang tot MedDRA, dat gelicentieerd is. Test het; anders valt het stil terug op een gewoon tekstvak.</w:t>
            </w:r>
          </w:p>
        </w:tc>
      </w:tr>
      <w:tr>
        <w:tc>
          <w:tcPr>
            <w:tcW w:type="dxa" w:w="2608"/>
          </w:tcPr>
          <w:p>
            <w:pPr>
              <w:spacing w:before="30" w:after="30" w:line="252" w:lineRule="auto"/>
            </w:pPr>
            <w:r/>
            <w:r>
              <w:rPr>
                <w:rFonts w:ascii="Segoe UI" w:hAnsi="Segoe UI" w:eastAsia="Segoe UI"/>
                <w:b w:val="0"/>
                <w:i w:val="0"/>
                <w:color w:val="1B2630"/>
                <w:sz w:val="15"/>
              </w:rPr>
              <w:t>elcr_inclusion tegenover eCRF 01</w:t>
            </w:r>
          </w:p>
        </w:tc>
        <w:tc>
          <w:tcPr>
            <w:tcW w:type="dxa" w:w="7257"/>
          </w:tcPr>
          <w:p>
            <w:pPr>
              <w:spacing w:before="30" w:after="30" w:line="252" w:lineRule="auto"/>
            </w:pPr>
            <w:r/>
            <w:r>
              <w:rPr>
                <w:rFonts w:ascii="Segoe UI" w:hAnsi="Segoe UI" w:eastAsia="Segoe UI"/>
                <w:b w:val="0"/>
                <w:i w:val="0"/>
                <w:color w:val="1B2630"/>
                <w:sz w:val="15"/>
              </w:rPr>
              <w:t>Ik vulde de criteria uit §3. eCRF 01 noemt er zeven en mist E3 (PEDIS graad 3), E5 (immunosuppressie) en de inclusie-eis I4 (stabiele vaatstatus). Beide moeten gelijk komen vóór de EC-indiening — openstaand punt 2.</w:t>
            </w:r>
          </w:p>
        </w:tc>
      </w:tr>
    </w:tbl>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40 instrumenten, 30 events, 208 mappingregels, 271 velden in de dictionary, geen variabelenaam boven 26 tekens, en geen dode verwijzing.</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