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recognized lower-extremity complication of diabetes, affecting 19%–34% of individuals with diabetes during their lifetime [1]. The consequences of this condition are disproportionate to the clinical attention it receives. Five-year mortality among individuals with a diabetes-related foot ulcer is 2.5 times that of individuals with diabetes and no ulcer [1]; a systematic review of cohorts followed for five years places absolute five-year mortality after ulceration at approximately 40%, though the pooled populations differed widely in demographic profile and comorbidity [2]. More than half of ulcers become infected, approximately one in five moderate or severe infections leads to amputation, and five-year mortality following diabetes-related amputation exceeds 70% [1]. Healthcare expenditure on diabetes-related foot ulceration and amputation in England was estimated at £837 to £962 million in 2014–2015, more than the combined cost of breast, prostate and lung cancer [3].</w:t>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the EURODIALE cohort of 1088 patients treated at fourteen European diabetic foot centres with longstanding expertise, 23% had not healed after one year [4].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[5].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[6], applied within the state-of-the-art design protocol that specifies modification whenever midfoot or forefoot peak pressure exceeds 200 kPa [7]; pressure-informed therapeutic footwear is standard of care after ulceration [8].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[9]. Benefits appeared only among the 46% of participants who wore the footwear as prescribed: recurrence in that subgroup was 25.7% with improved footwear versus 47.8% with usual care (odds ratio 0.38, 95% CI 0.15–0.99, p = 0.045) [9]. Accordingly, the trial's conclusion was conditional: improved offloading does not reduce recurrence unless it is worn as recommended [9].</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[10]. The most rigorous individual trial evaluating a structured single educational session found no reduction in ulceration at either six or twelve months [11].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[12].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[13]; fewer than one-third of patients wear prescribed footwear more than 80% of the time [9,13].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[14].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[15].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[16].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[1,17].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[18],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[19].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[11].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[10].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[20].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[9], whereas adherence-monitoring approaches have mainly been evaluated in other healthcare systems, with challenges in implementation reported [18].</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[12].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[21].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[22]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[23]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[24].</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[8]: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[7].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[7] and the optimisation criteria validated in that group’s earlier work [6],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[25]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[13]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[26];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[27],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[28].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[1,17],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[29];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[30];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[9]</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[9,13],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[13]. Anticipating an increase to 85% under PARADISE — comparable in magnitude to the improvement observed when adherence was actively targeted in prior work [31]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[9],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[32],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[33].</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[33].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[34].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[35].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[36],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[37]; and guideline-based care was cost-effective over a lifetime horizon at under US$25,000 per QALY gained [38].</w:t>
      </w:r>
      <w:r w:rsidR="009A189C">
        <w:rPr>
          <w:lang w:val="en-GB"/>
        </w:rPr>
        <w:t xml:space="preserve"/>
      </w:r>
      <w:r w:rsidRPr="00D1417A">
        <w:rPr>
          <w:lang w:val="en-GB"/>
        </w:rPr>
        <w:t xml:space="preserve"> A trial-based evaluation of at-home temperature monitoring in the same population and over the same 18-month horizon reported an ICER of €−11,580 per ulcer prevented with a 79% probability of cost-effectiveness [39]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[40]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[9,11],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[21].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[9]. Patient education, delivered conventionally, has shown no protective effect at all [1,10,11]. Objective adherence monitoring has been validated as a measurement technique [18] </w:t>
      </w:r>
      <w:r w:rsidRPr="00D1417A">
        <w:rPr>
          <w:lang w:val="en-GB"/>
        </w:rPr>
        <w:t xml:space="preserve">but implemented with only moderate success where it has been tried [18]. Continuous digital pressure feedback reduced recurrence in a proof-of-concept trial, again principally among adherent users [12].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[1,17]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3" ns2:textId="77777777" w:rsidR="00D47670" w:rsidRPr="00D1417A" w:rsidRDefault="00A02229">
      <w:pPr>
        <w:spacing w:after="140" w:line="276" w:lineRule="auto"/>
        <w:jc w:val="both"/>
        <w:rPr>
          <w:lang w:val="en-GB"/>
        </w:rPr>
      </w:pPr>
      <w:r w:rsidRPr="00D1417A">
        <w:rPr>
          <w:lang w:val="en-GB"/>
        </w:rPr>
        <w:t xml:space="preserve">The trial is also explicit about what its own success criterion costs. Because PARADISE is declared positive only if both co-primary endpoints are met, the probability of a positive result is lower than either endpoint-specific figure: between 74% and 84% under the attrition assumption, depending on the correlation between recurrence and adherence. Protocols with co-primary outcomes commonly report only the endpoint-specific power, which overstates the prospect of success on the criterion by which the trial will actually be judged. Reporting the joint figure allows that prospect to be assessed before the trial begins rather than reconstructed afterwards, and it makes explicit that the design accepts a lower probability of an unambiguous result in exchange for a conclusion that rests on both the clinical outcome and the behavioural mechanism said to produce it.</w:t>
      </w:r>
      <w:r w:rsidRPr="00D1417A">
        <w:rPr>
          <w:lang w:val="en-GB"/>
        </w:rPr>
      </w:r>
      <w:r w:rsidRPr="00D1417A">
        <w:rPr>
          <w:lang w:val="en-GB"/>
        </w:rPr>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[15], and the strongest evidence linking it to future ulceration remains observational and twelve months long [16].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[7].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[15];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2. Jupiter DC, Thorud JC, Buckley CJ, Shibuya N. The impact of foot ulceration and amputation on mortality in diabetic patients. I: From ulceration to death, a systematic review. Int Wound J. 2016;13(5):892–903. doi:10.1111/iwj.12404</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3. Kerr M, Barron E, Chadwick P, Evans T, Kong WM, Rayman G, et al. The cost of diabetic foot ulcers and amputations to the National Health Service in England. Diabet Med. 2019;36(8):995–1002. doi:10.1111/dme.13973</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4. Prompers L, Schaper N, Apelqvist J, Edmonds M, Jude E, Mauricio D, et al. Prediction of outcome in individuals with diabetic foot ulcers: focus on the differences between individuals with and without peripheral arterial disease. Diabetologia. 2008;51(5):747–755. doi:10.1007/s00125-008-0940-0</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5. Bus SA, van Netten JJ. A shift in priority in diabetic foot care and research: 75% of foot ulcers are preventable. Diabetes Metab Res Rev. 2016;32(Suppl 1):195–200. doi:10.1002/dmrr.2738</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6.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7.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8.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9.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10. van Netten JJ, Price PE, Lavery LA, Monteiro-Soares M, Rasmussen A, Jubiz Y, et al. Prevention of foot ulcers in the at-risk patient with diabetes: a systematic review. Diabetes Metab Res Rev. 2016;32(Suppl 1):84–98. doi:10.1002/dmrr.2701</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11. Lincoln NB, Radford KA, Game FL, Jeffcoate WJ. Education for secondary prevention of foot ulcers in people with diabetes: a randomised controlled trial. Diabetologia. 2008;51(11):1954–1961. doi:10.1007/s00125-008-1110-0</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12.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13. Waaijman R, Keukenkamp R, de Haart M, Polomski WP, Nollet F, Bus SA. Adherence to wearing prescription custom-made footwear in patients with diabetes at high risk for plantar foot ulceration. Diabetes Care. 2013;36(6):1613–1618. doi:10.2337/dc12-1330</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14.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15.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16.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17.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18.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19.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20. Morbach S, Kersken J, Lobmann R, Nobels F, Doggen K, Van Acker K. The German and Belgian accreditation models for diabetic foot services. Diabetes Metab Res Rev. 2016;32(Suppl 1):318–325. doi:10.1002/dmrr.2752</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21. Chan A-W, Boutron I, Hopewell S, Moher D, Schulz KF, Collins GS, et al. SPIRIT 2025 statement: updated guideline for protocols of randomised trials. BMJ. 2025;389:e081477. doi:10.1136/bmj-2024-081477</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22. Hoffmann TC, Glasziou PP, Boutron I, Milne R, Perera R, Moher D, et al. Better reporting of interventions: template for intervention description and replication (TIDieR) checklist and guide. BMJ. 2014;348:g1687. doi:10.1136/bmj.g1687</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23. Loudon K, Treweek S, Sullivan F, Donnan PT, Thorpe KE, Zwarenstein M. The PRECIS-2 tool: designing trials that are fit for purpose. BMJ. 2015;350:h2147. doi:10.1136/bmj.h2147</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24. Hopewell S, Chan A-W, Collins GS, Hróbjartsson A, Moher D, Schulz KF, et al. CONSORT 2025 statement: updated guideline for reporting randomised trials. BMJ. 2025;389:e081123. doi:10.1136/bmj-2024-081123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25. Lincoln NB, Jeffcoate WJ, Ince P, Smith M, Radford KA. Validation of a new measure of protective footcare behaviour: the Nottingham Assessment of Functional Footcare (NAFF). Practical Diabetes International. 2007;24(4):207–211. doi:10.1002/pdi.1099</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26. Zwaferink JBJ, Nollet F, Bus SA. In-shoe pressure measurements in diabetic footwear practice: success rate and facilitators of and barriers to implementation. Sensors. 2024;24(6):1795. doi:10.3390/s24061795</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27.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28. van Netten JJ, Bus SA, Apelqvist J, Chen P, Chuter V, Fitridge R, et al. Definitions and criteria for diabetes-related foot disease (IWGDF 2023 update). Diabetes Metab Res Rev. 2024;40(3):e3654. doi:10.1002/dmrr.3654</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29. Dahmen R, Siemonsma PC, Monteiro S, Roorda LD, Lankhorst GJ, Boers M. Evaluation of the wear-and-tear scale for therapeutic footwear: results of a generalizability study. J Rehabil Med. 2018;50(6):569–574. doi:10.2340/16501977-2339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30. Staniszewska A, Game F, Nixon J, Russell D, Armstrong DG, Ashmore C, et al. Development of a core outcome set for studies assessing interventions for diabetes-related foot ulceration. Diabetes Care. 2024;47(11):1958–1968. doi:10.2337/dc24-1112</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31. Keukenkamp R, van Netten JJ, Busch-Westbroek TE, Bus SA. Custom-made footwear designed for indoor use increases short-term and long-term adherence in people with diabetes at high ulcer risk. BMJ Open Diabetes Res Care. 2022;10(1):e002593. doi:10.1136/bmjdrc-2021-002593</w:t>
      </w:r>
    </w:p>
    <w:p ns2:paraId="11F664E0" ns2:textId="77777777" w:rsidR="00D47670" w:rsidRDefault="00A02229">
      <w:pPr>
        <w:spacing w:after="100"/>
        <w:ind w:left="454" w:hanging="454"/>
      </w:pPr>
      <w:r w:rsidRPr="00D1417A">
        <w:rPr>
          <w:sz w:val="20"/>
          <w:szCs w:val="20"/>
          <w:lang w:val="en-GB"/>
        </w:rPr>
        <w:t>32.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33. Bus SA, van Netten JJ, Schouten DR, Dijkgraaf MGW. Cost-effectiveness of pressure-guided-offloading-improved custom-made footwear for people with diabetes at high risk of plantar foot ulceration. Diabetology. 2026;7(4):70. doi:10.3390/diabetology7040070</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34. Husereau D, Drummond M, Petrou S, Carswell C, Moher D, Greenberg D, et al. Consolidated Health Economic Evaluation Reporting Standards (CHEERS) statement. Pharmacoeconomics. 2013;31(5):361–367. doi:10.1007/s40273-013-0032-y</w:t>
      </w:r>
    </w:p>
    <w:p ns2:paraId="11F664E3" ns2:textId="77777777" w:rsidR="00D47670" w:rsidRPr="00D1417A" w:rsidRDefault="00A02229">
      <w:pPr>
        <w:rPr>
          <w:lang w:val="en-GB"/>
        </w:rPr>
      </w:pPr>
      <w:r w:rsidRPr="00D1417A">
        <w:rPr>
          <w:sz w:val="20"/>
          <w:lang w:val="en-GB"/>
        </w:rPr>
        <w:t>35. Hakkaart-van Roijen L, Peeters S, Kanters T. Kostenhandleiding voor economische evaluaties in de gezondheidszorg: methodologie en referentieprijzen. Diemen: Zorginstituut Nederland; 2024.</w:t>
      </w:r>
    </w:p>
    <w:p ns2:paraId="11F664E4" ns2:textId="7685600F" w:rsidR="00D47670" w:rsidRPr="00D1417A" w:rsidRDefault="00A02229">
      <w:pPr>
        <w:rPr>
          <w:lang w:val="en-GB"/>
        </w:rPr>
      </w:pPr>
      <w:r w:rsidRPr="00D1417A">
        <w:rPr>
          <w:sz w:val="20"/>
          <w:lang w:val="en-GB"/>
        </w:rPr>
        <w:t>36. Prompers L, Huijberts M, Schaper N, Apelqvist J, Bakker K, Edmonds M, et al. Resource utilisation and costs associated with the treatment of diabetic foot ulcers. Prospective data from the Eurodiale Study. Diabetologia. 2008;51(10):1826–1834. doi:10.1007/s00125-008-1089-6</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37. Ragnarson Tennvall G, Apelqvist J. Prevention of diabetes-related foot ulcers and amputations: a cost-utility analysis based on Markov model simulations. Diabetologia. 2001;44(11):2077–2087. doi:10.1007/s001250100013</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38. Ortegon MM, Redekop WK, Niessen LW. Cost-effectiveness of prevention and treatment of the diabetic foot: a Markov analysis. Diabetes Care. 2004;27(4):901–907. doi:10.2337/diacare.27.4.901</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39.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40.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