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 xml:space="preserve">(for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774DB"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774DB"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774DB"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  Introduction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275AD" w:rsidRPr="00A275AD">
        <w:rPr>
          <w:rFonts w:ascii="Garamond" w:hAnsi="Garamond"/>
          <w:vertAlign w:val="superscript"/>
          <w:lang w:val="en-GB"/>
        </w:rPr>
      </w:r>
      <w:r w:rsidRPr="005F5A72">
        <w:rPr>
          <w:rFonts w:ascii="Garamond" w:hAnsi="Garamond"/>
          <w:lang w:val="en-US"/>
        </w:rPr>
        <w:t xml:space="preserve"> in Belgium, diagnosed prevalence reached 7.6% in 2023 and continues to rise with an ageing population.</w:t>
      </w:r>
      <w:r w:rsidR="00A275AD" w:rsidRPr="00A275AD">
        <w:rPr>
          <w:rFonts w:ascii="Garamond" w:hAnsi="Garamond"/>
          <w:vertAlign w:val="superscript"/>
          <w:lang w:val="en-GB"/>
        </w:rPr>
        <w:t>1</w:t>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275AD" w:rsidRPr="00A275AD">
        <w:rPr>
          <w:rFonts w:ascii="Garamond" w:hAnsi="Garamond"/>
          <w:vertAlign w:val="superscript"/>
          <w:lang w:val="en-GB"/>
        </w:rPr>
        <w:t>2,3,4</w:t>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yet a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each demonstrated value,</w:t>
      </w:r>
      <w:r w:rsidR="00A275AD" w:rsidRPr="00A275AD">
        <w:rPr>
          <w:rFonts w:ascii="Garamond" w:hAnsi="Garamond"/>
          <w:vertAlign w:val="superscript"/>
          <w:lang w:val="en-GB"/>
        </w:rPr>
        <w:t>5,6,7</w:t>
      </w:r>
      <w:r>
        <w:rPr>
          <w:rFonts w:ascii="Garamond" w:hAnsi="Garamond"/>
        </w:rPr>
        <w:t xml:space="preserve"> but they are not yet systematically combined in Belgian diabetic-foot pathways.</w:t>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BC530B">
        <w:rPr>
          <w:rFonts w:ascii="Garamond" w:hAnsi="Garamond"/>
          <w:lang w:val="en-US"/>
        </w:rPr>
        <w:t>.</w:t>
      </w:r>
      <w:r w:rsidR="00A275AD" w:rsidRPr="00A275AD">
        <w:rPr>
          <w:rFonts w:ascii="Garamond" w:hAnsi="Garamond"/>
          <w:vertAlign w:val="superscript"/>
          <w:lang w:val="en-GB"/>
        </w:rPr>
        <w:t>5,6</w:t>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275AD" w:rsidRPr="00A275AD">
        <w:rPr>
          <w:rFonts w:ascii="Garamond" w:hAnsi="Garamond"/>
          <w:vertAlign w:val="superscript"/>
          <w:lang w:val="en-GB"/>
        </w:rPr>
        <w:t>8,9</w:t>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275AD" w:rsidRPr="00A275AD">
        <w:rPr>
          <w:rFonts w:ascii="Garamond" w:hAnsi="Garamond"/>
          <w:vertAlign w:val="superscript"/>
          <w:lang w:val="en-GB"/>
        </w:rPr>
        <w:t>8,10,11</w:t>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275AD" w:rsidRPr="00A275AD">
        <w:rPr>
          <w:rFonts w:ascii="Garamond" w:hAnsi="Garamond"/>
          <w:vertAlign w:val="superscript"/>
          <w:lang w:val="en-GB"/>
        </w:rPr>
        <w:t>12</w:t>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  General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275AD" w:rsidRPr="00A275AD">
        <w:rPr>
          <w:rFonts w:ascii="Garamond" w:hAnsi="Garamond"/>
          <w:vertAlign w:val="superscript"/>
          <w:lang w:val="en-GB"/>
        </w:rPr>
        <w:t>5</w:t>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  Methodology</w:t>
      </w:r>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w:t>
      </w:r>
      <w:r w:rsidR="00D75C6C" w:rsidRPr="00D75C6C">
        <w:rPr>
          <w:rFonts w:ascii="Garamond" w:hAnsi="Garamond"/>
          <w:lang w:val="en-GB"/>
        </w:rPr>
        <w:lastRenderedPageBreak/>
        <w:t>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275AD" w:rsidRPr="00A275AD">
        <w:rPr>
          <w:rFonts w:ascii="Garamond" w:hAnsi="Garamond"/>
          <w:vertAlign w:val="superscript"/>
          <w:lang w:val="en-GB"/>
        </w:rPr>
        <w:t>5</w:t>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5F5A72">
        <w:rPr>
          <w:rFonts w:ascii="Garamond" w:hAnsi="Garamond"/>
          <w:lang w:val="en-US"/>
        </w:rPr>
        <w:t>.</w:t>
      </w:r>
      <w:r w:rsidR="00A275AD" w:rsidRPr="00A275AD">
        <w:rPr>
          <w:rFonts w:ascii="Garamond" w:hAnsi="Garamond"/>
          <w:vertAlign w:val="superscript"/>
          <w:lang w:val="en-GB"/>
        </w:rPr>
        <w:t>6,13,14</w:t>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275AD" w:rsidRPr="00A275AD">
        <w:rPr>
          <w:rFonts w:ascii="Garamond" w:hAnsi="Garamond"/>
          <w:vertAlign w:val="superscript"/>
          <w:lang w:val="en-GB"/>
        </w:rPr>
        <w:t>10,15</w:t>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4680000" cy="2620799"/>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4680000" cy="2620799"/>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275AD" w:rsidRPr="00A275AD">
        <w:rPr>
          <w:rFonts w:ascii="Garamond" w:hAnsi="Garamond"/>
          <w:vertAlign w:val="superscript"/>
          <w:lang w:val="en-GB"/>
        </w:rPr>
        <w:t>5,16</w:t>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275AD" w:rsidRPr="00A275AD">
        <w:rPr>
          <w:rFonts w:ascii="Garamond" w:hAnsi="Garamond"/>
          <w:vertAlign w:val="superscript"/>
          <w:lang w:val="en-GB"/>
        </w:rPr>
        <w:t>5,6,9</w:t>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275AD" w:rsidRPr="00A275AD">
        <w:rPr>
          <w:rFonts w:ascii="Garamond" w:hAnsi="Garamond"/>
          <w:vertAlign w:val="superscript"/>
          <w:lang w:val="en-GB"/>
        </w:rPr>
        <w:t>12</w:t>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 xml:space="preserve">Secondary outcomes comprise ulcer-free survival, recurrence characteristics, plantar-pressure change at 6, 12, and 18 months, foot-care behaviour (NAFF), objectively measured adherence over the full 18 months, </w:t>
      </w:r>
      <w:r w:rsidRPr="007760C2">
        <w:rPr>
          <w:rFonts w:ascii="Garamond" w:hAnsi="Garamond"/>
          <w:lang w:val="en-GB"/>
        </w:rPr>
        <w:lastRenderedPageBreak/>
        <w:t>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275AD" w:rsidRPr="00A275AD">
        <w:rPr>
          <w:rFonts w:ascii="Garamond" w:hAnsi="Garamond"/>
          <w:vertAlign w:val="superscript"/>
          <w:lang w:val="en-GB"/>
        </w:rPr>
        <w:t>5</w:t>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275AD" w:rsidRPr="00A275AD">
        <w:rPr>
          <w:rFonts w:ascii="Garamond" w:hAnsi="Garamond"/>
          <w:vertAlign w:val="superscript"/>
          <w:lang w:val="en-GB"/>
        </w:rPr>
        <w:t>17,18</w:t>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275AD" w:rsidRPr="00A275AD">
        <w:rPr>
          <w:rFonts w:ascii="Garamond" w:hAnsi="Garamond"/>
          <w:vertAlign w:val="superscript"/>
          <w:lang w:val="en-GB"/>
        </w:rPr>
        <w:t>19,20</w:t>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275AD" w:rsidRPr="00A275AD">
        <w:rPr>
          <w:rFonts w:ascii="Garamond" w:hAnsi="Garamond"/>
          <w:vertAlign w:val="superscript"/>
          <w:lang w:val="en-GB"/>
        </w:rPr>
        <w:t>21</w:t>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5184000" cy="2167853"/>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5184000" cy="2167853"/>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275AD" w:rsidRPr="00A275AD">
        <w:rPr>
          <w:rFonts w:ascii="Garamond" w:hAnsi="Garamond"/>
          <w:vertAlign w:val="superscript"/>
          <w:lang w:val="en-GB"/>
        </w:rPr>
        <w:t>22</w:t>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275AD" w:rsidRPr="00A275AD">
        <w:rPr>
          <w:rFonts w:ascii="Garamond" w:hAnsi="Garamond"/>
          <w:vertAlign w:val="superscript"/>
          <w:lang w:val="en-GB"/>
        </w:rPr>
        <w:t>23</w:t>
      </w:r>
      <w:r w:rsidRPr="005F5A72">
        <w:rPr>
          <w:rFonts w:ascii="Garamond" w:hAnsi="Garamond"/>
          <w:lang w:val="en-US"/>
        </w:rPr>
        <w:t xml:space="preserve"> </w:t>
      </w:r>
      <w:r w:rsidR="00A2143A" w:rsidRPr="00A2143A">
        <w:rPr>
          <w:rFonts w:ascii="Garamond" w:hAnsi="Garamond"/>
          <w:lang w:val="en-GB"/>
        </w:rPr>
        <w:lastRenderedPageBreak/>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275AD" w:rsidRPr="00E55EF8">
        <w:rPr>
          <w:rFonts w:ascii="Garamond" w:hAnsi="Garamond"/>
          <w:vertAlign w:val="superscript"/>
          <w:lang w:val="en-GB"/>
        </w:rPr>
        <w:t>24</w:t>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t>5.  Conclusion: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275AD" w:rsidRPr="00A275AD">
        <w:rPr>
          <w:rFonts w:ascii="Garamond" w:hAnsi="Garamond"/>
          <w:vertAlign w:val="superscript"/>
          <w:lang w:val="en-GB"/>
        </w:rPr>
        <w:t>25</w:t>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r>
      <w:r w:rsidR="00A275AD" w:rsidRPr="0046322F">
        <w:rPr>
          <w:rFonts w:ascii="Garamond" w:hAnsi="Garamond"/>
          <w:sz w:val="16"/>
          <w:szCs w:val="16"/>
          <w:lang w:val="en-US"/>
        </w:rPr>
      </w:r>
      <w:r w:rsidRPr="0046322F">
        <w:rPr>
          <w:rFonts w:ascii="Garamond" w:hAnsi="Garamond"/>
          <w:sz w:val="16"/>
          <w:szCs w:val="16"/>
          <w:lang w:val="en-US"/>
        </w:rPr>
      </w:r>
      <w:r w:rsidR="00A275AD" w:rsidRPr="0046322F">
        <w:rPr>
          <w:sz w:val="16"/>
          <w:szCs w:val="16"/>
          <w:lang w:val="en-GB"/>
        </w:rPr>
        <w:t>1.</w:t>
      </w:r>
      <w:r w:rsidR="00A275AD" w:rsidRPr="0046322F">
        <w:rPr>
          <w:sz w:val="16"/>
          <w:szCs w:val="16"/>
          <w:lang w:val="en-GB"/>
        </w:rPr>
        <w:tab/>
        <w:t>Sciensano. Diabetes. In: For a Healthy Belgium [Internet]. Brussels: Sciensano; 2025 [cited 2026 Jun 4]. Available from: https://www.healthybelgium.be/en/health-status/non-communicable-diseases/diabetes</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Armstrong DG, Boulton AJM, Bus SA. Diabetic Foot Ulcers and Their Recurrence. N Engl J Med. 2017;376:2367-75.</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et al.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5.</w:t>
      </w:r>
      <w:r w:rsidRPr="00E55EF8">
        <w:rPr>
          <w:sz w:val="16"/>
          <w:szCs w:val="16"/>
          <w:lang w:val="en-GB"/>
        </w:rPr>
        <w:tab/>
        <w:t>Bus SA, Waaijman R, Arts M, de Haart M, Busch-Westbroek T, van Baal J, et al. Effect of Custom-Made Footwear on Foot Ulcer Recurrence in Diabetes. Diabetes Care. 2013;36:4109-16.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r>
      <w:r w:rsidRPr="00E55EF8">
        <w:rPr>
          <w:sz w:val="16"/>
          <w:szCs w:val="16"/>
          <w:lang w:val="en-GB"/>
        </w:rPr>
        <w:t>6.</w:t>
      </w:r>
      <w:r w:rsidRPr="0046322F">
        <w:rPr>
          <w:sz w:val="16"/>
          <w:szCs w:val="16"/>
          <w:lang w:val="en-GB"/>
        </w:rPr>
        <w:tab/>
        <w:t>Waaijman R, Keukenkamp R, de Haart M, Polomski WP, Nollet F, Bus SA. 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van Stralen MM, West R. The behaviour change wheel: A new method for characterising and designing behaviour change interventions. Implement Sci. 2011;6:42.</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Gingerich WJ, Peterson LT. Effectiveness of Solution-Focused Brief Therapy: A Systematic Qualitative Review of Controlled Outcome Studies. Res Soc Work Pract. 2013;23:266-83.</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12.</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Lutjeboer T, van Netten JJ, Postema K, Hijmans J. Effect of awareness of being monitored on wearing of orthopaedic footwear. J Rehabil Med. 2020;52:jrm00127.</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Vossen LE, van Netten JJ, Bakker CD, Berendsen HA, Busch-Westbroek TE, Peters EJG, et al. An integrated personalized assistive devices approach to reduce the risk of foot ulcer recurrence in diabetes (DIASSIST): study protocol for a multicenter randomized controlled trial. Trials. 2023;24:663.</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White IR, Royston P, Wood AM. Multiple imputation using chained equations: Issues and guidance for practice. Stat Med. 2011;30:377-99.</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Mallinckrodt C, Lipkovich I, Dickson S, Hendrix S, Molenberghs G. Handling Missing Data in Participants with Baseline but No Post‐Baseline Data. Pharm Stat. 2026;25:e70076.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Lincoln N, Jeffcoate W, Ince P, Smith M, Radford K. Validation of a new measure of protective footcare behaviour: the Nottingham Assessment of Functional Footcare (NAFF). Pract Diab Int. 2007;24:207-11.</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Herdman M, Gudex C, Lloyd A, Janssen MF, Kind P, Parkin D, et al. Development and preliminary testing of the new five-level version of EQ-5D (EQ-5D-5L). Qual Life Res. 2011;20:1727-36.</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Chan AW, Boutron I, Hopewell S, Moher D, Schulz KF, Collins GS, et al. SPIRIT 2025 statement: updated guideline for protocols of randomised trials. BMJ. 2025;389:e081477.</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23.</w:t>
      </w:r>
      <w:r w:rsidRPr="0046322F">
        <w:rPr>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24.</w:t>
      </w:r>
      <w:r w:rsidRPr="0046322F">
        <w:rPr>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25.</w:t>
      </w:r>
      <w:r w:rsidRPr="0046322F">
        <w:rPr>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5F5A72" w:rsidRDefault="00614557" w:rsidP="004E57D3">
      <w:pPr>
        <w:spacing w:after="60"/>
        <w:rPr>
          <w:rFonts w:ascii="Garamond" w:hAnsi="Garamond"/>
          <w:lang w:val="en-US"/>
        </w:rPr>
      </w:pP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89" w14:textId="77777777" w:rsidR="00AE379F" w:rsidRDefault="00AE379F">
      <w:r>
        <w:separator/>
      </w:r>
    </w:p>
  </w:endnote>
  <w:endnote w:type="continuationSeparator" w:id="0">
    <w:p w14:paraId="29C4E909" w14:textId="77777777" w:rsidR="00AE379F" w:rsidRDefault="00AE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D7A9" w14:textId="77777777" w:rsidR="00AE379F" w:rsidRDefault="00AE379F">
      <w:r>
        <w:separator/>
      </w:r>
    </w:p>
  </w:footnote>
  <w:footnote w:type="continuationSeparator" w:id="0">
    <w:p w14:paraId="12FA6429" w14:textId="77777777" w:rsidR="00AE379F" w:rsidRDefault="00AE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14034</Words>
  <Characters>93053</Characters>
  <Application>Microsoft Office Word</Application>
  <DocSecurity>0</DocSecurity>
  <Lines>1550</Lines>
  <Paragraphs>591</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111</cp:revision>
  <dcterms:created xsi:type="dcterms:W3CDTF">2026-07-17T12:03:00Z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