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57EB85EE">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192FE3"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B99F25F" w14:textId="6A18E3E4" w:rsidR="00A628AB" w:rsidRPr="00192FE3"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192FE3"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F41482" w14:textId="3F5ED738" w:rsidR="00A628AB" w:rsidRPr="00863037" w:rsidRDefault="0080769A" w:rsidP="00863037">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Structured Education and Behavioural Intervention Approach</w:t>
      </w:r>
      <w:r w:rsidR="00763FF8" w:rsidRPr="00763FF8">
        <w:rPr>
          <w:rFonts w:ascii="Calibri" w:hAnsi="Calibri" w:cs="Calibri"/>
        </w:rPr>
        <w:t xml:space="preserve">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 (eCRF-Document 45/45b) — a thorough recall at baseline (Visit 1), bi-weekly recall entries up to month 3, and 3-monthly recall entries from month 3 to month 18</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1C37CF28" w14:textId="77777777" w:rsidR="00A628AB" w:rsidRPr="00192FE3" w:rsidRDefault="00000000">
      <w:pPr>
        <w:rPr>
          <w:lang w:val="nl-BE"/>
        </w:rPr>
      </w:pPr>
      <w:r w:rsidRPr="00192FE3">
        <w:rPr>
          <w:i/>
          <w:color w:val="FF0000"/>
          <w:lang w:val="nl-BE"/>
        </w:rPr>
        <w:t>[Opgelost — afspraak bevestigd: grondige baseline (Visite 1), daarna gezondheidseconomisch dagboek (eCRF 45/45b) 2-wekelijks tot 3 maanden en 3-maandelijks van 3 tot 18 maanden; EQ-5D-5L en iMCQ/iPCQ blijven op de bestaande visitemomenten (baseline + elke kwartaalvisite V3-V8). Tekst overal gelijkgetrokken. Openstaand: eCRF-document 45b ondersteunt momenteel geen 2-wekelijkse dagboekcyclus in de eerste 3 maanden (enkel ‘bij elke kwartaalvisite’) — dit moet nog aangepast worden aan deze afspraak.]</w:t>
      </w:r>
      <w:r w:rsidRPr="00192FE3">
        <w:rPr>
          <w:i/>
          <w:color w:val="FF0000"/>
          <w:lang w:val="nl-BE"/>
        </w:rPr>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8"/>
      <w:r w:rsidRPr="6898190B">
        <w:rPr>
          <w:rFonts w:ascii="Calibri" w:hAnsi="Calibri" w:cs="Calibri"/>
        </w:rPr>
        <w:t>,</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9"/>
      <w:r w:rsidRPr="6898190B">
        <w:rPr>
          <w:rFonts w:ascii="Calibri" w:hAnsi="Calibri" w:cs="Calibri"/>
        </w:rPr>
        <w:t>.</w:t>
      </w:r>
      <w:commentRangeEnd w:id="9"/>
      <w:r w:rsidRPr="00273BD4">
        <w:rPr>
          <w:rStyle w:val="Verwijzingopmerking"/>
          <w:rFonts w:ascii="Calibri" w:hAnsi="Calibri" w:cs="Calibri"/>
          <w:sz w:val="22"/>
          <w:szCs w:val="22"/>
        </w:rPr>
        <w:commentReference w:id="9"/>
      </w:r>
    </w:p>
    <w:p w14:paraId="25318D3D" w14:textId="77777777" w:rsidR="00A628AB" w:rsidRDefault="00000000">
      <w:r w:rsidRPr="00192FE3">
        <w:rPr>
          <w:i/>
          <w:color w:val="FF0000"/>
          <w:lang w:val="nl-BE"/>
        </w:rPr>
        <w:t xml:space="preserve">[Nazicht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w:t>
      </w:r>
      <w:r>
        <w:rPr>
          <w:i/>
          <w:color w:val="FF0000"/>
        </w:rPr>
        <w:t>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0"/>
      <w:commentRangeEnd w:id="10"/>
      <w:r w:rsidRPr="00273BD4">
        <w:rPr>
          <w:rStyle w:val="Verwijzingopmerking"/>
          <w:rFonts w:ascii="Calibri" w:hAnsi="Calibri" w:cs="Calibri"/>
          <w:sz w:val="22"/>
          <w:szCs w:val="22"/>
        </w:rPr>
        <w:commentReference w:id="10"/>
      </w:r>
    </w:p>
    <w:p w14:paraId="2D3E2088" w14:textId="77777777" w:rsidR="00A628AB" w:rsidRPr="00192FE3" w:rsidRDefault="00000000">
      <w:pPr>
        <w:rPr>
          <w:lang w:val="nl-BE"/>
        </w:rPr>
      </w:pPr>
      <w:r w:rsidRPr="00192FE3">
        <w:rPr>
          <w:i/>
          <w:color w:val="FF0000"/>
          <w:lang w:val="nl-BE"/>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1"/>
      <w:r w:rsidRPr="6575C696">
        <w:rPr>
          <w:rFonts w:ascii="Calibri" w:hAnsi="Calibri" w:cs="Calibri"/>
        </w:rPr>
        <w:t>.</w:t>
      </w:r>
      <w:commentRangeEnd w:id="11"/>
      <w:r>
        <w:rPr>
          <w:rStyle w:val="Verwijzingopmerking"/>
        </w:rPr>
        <w:commentReference w:id="11"/>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14:paraId="28B38D2A" w14:textId="77777777" w:rsidR="00A628AB" w:rsidRDefault="00000000">
      <w:r w:rsidRPr="00192FE3">
        <w:rPr>
          <w:i/>
          <w:color w:val="FF0000"/>
          <w:lang w:val="nl-BE"/>
        </w:rPr>
        <w:t xml:space="preserve">[Openstaand punt — Fabienne: moet contaminatie ook actief gecontroleerd worden in de Usual Care-arm (niet enkel via de fidelity-checklist in Optimal Care)? </w:t>
      </w:r>
      <w:r>
        <w:rPr>
          <w:i/>
          <w:color w:val="FF0000"/>
        </w:rPr>
        <w:t>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lastRenderedPageBreak/>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2" w:name="_Toc229929311"/>
      <w:r w:rsidRPr="00273BD4">
        <w:rPr>
          <w:rFonts w:cs="Calibri"/>
        </w:rPr>
        <w:t>3.3.  Study design</w:t>
      </w:r>
      <w:bookmarkEnd w:id="12"/>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3" w:name="_Toc229929312"/>
      <w:r w:rsidRPr="00273BD4">
        <w:rPr>
          <w:rFonts w:cs="Calibri"/>
        </w:rPr>
        <w:t>4. Study Population/Eligibility Criteria</w:t>
      </w:r>
      <w:bookmarkEnd w:id="13"/>
    </w:p>
    <w:p w14:paraId="0D88C979" w14:textId="41CC1D72" w:rsidR="00EE7523" w:rsidRPr="00273BD4" w:rsidRDefault="00EE7523" w:rsidP="00E05F2F">
      <w:pPr>
        <w:pStyle w:val="Kop2"/>
        <w:rPr>
          <w:rFonts w:cs="Calibri"/>
        </w:rPr>
      </w:pPr>
      <w:bookmarkStart w:id="14" w:name="_Toc229929313"/>
      <w:r w:rsidRPr="00273BD4">
        <w:rPr>
          <w:rFonts w:cs="Calibri"/>
        </w:rPr>
        <w:t>4.</w:t>
      </w:r>
      <w:r w:rsidR="0017463D" w:rsidRPr="00273BD4">
        <w:rPr>
          <w:rFonts w:cs="Calibri"/>
        </w:rPr>
        <w:t>1</w:t>
      </w:r>
      <w:r w:rsidRPr="00273BD4">
        <w:rPr>
          <w:rFonts w:cs="Calibri"/>
        </w:rPr>
        <w:t>. Inclusion and exclusion criteria</w:t>
      </w:r>
      <w:bookmarkEnd w:id="14"/>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w:t>
      </w:r>
      <w:r w:rsidRPr="00273BD4">
        <w:rPr>
          <w:rFonts w:ascii="Calibri" w:hAnsi="Calibri" w:cs="Calibri"/>
        </w:rPr>
        <w:lastRenderedPageBreak/>
        <w:t>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p>
    <w:p w14:paraId="0B3B44A0" w14:textId="77777777" w:rsidR="00A628AB" w:rsidRDefault="00000000">
      <w:pPr>
        <w:pStyle w:val="Lijstalinea"/>
      </w:pPr>
      <w:r>
        <w:t>iii)</w:t>
      </w:r>
      <w:r>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5" w:name="_Toc229929314"/>
      <w:r w:rsidRPr="00273BD4">
        <w:rPr>
          <w:rFonts w:cs="Calibri"/>
        </w:rPr>
        <w:t>4.</w:t>
      </w:r>
      <w:r w:rsidR="0017463D" w:rsidRPr="00273BD4">
        <w:rPr>
          <w:rFonts w:cs="Calibri"/>
        </w:rPr>
        <w:t>2</w:t>
      </w:r>
      <w:r w:rsidRPr="00273BD4">
        <w:rPr>
          <w:rFonts w:cs="Calibri"/>
        </w:rPr>
        <w:t>. Expected duration of the trial</w:t>
      </w:r>
      <w:bookmarkEnd w:id="15"/>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6"/>
      <w:r w:rsidRPr="6898190B">
        <w:rPr>
          <w:rFonts w:ascii="Calibri" w:hAnsi="Calibri" w:cs="Calibri"/>
          <w:color w:val="000000" w:themeColor="text1"/>
        </w:rPr>
        <w:t>.</w:t>
      </w:r>
      <w:commentRangeEnd w:id="16"/>
      <w:r w:rsidRPr="6898190B">
        <w:rPr>
          <w:rStyle w:val="Verwijzingopmerking"/>
          <w:rFonts w:ascii="Calibri" w:hAnsi="Calibri" w:cs="Calibri"/>
          <w:color w:val="000000" w:themeColor="text1"/>
          <w:sz w:val="22"/>
          <w:szCs w:val="22"/>
        </w:rPr>
        <w:commentReference w:id="16"/>
      </w:r>
      <w:r w:rsidRPr="6898190B">
        <w:rPr>
          <w:rFonts w:ascii="Calibri" w:hAnsi="Calibri" w:cs="Calibri"/>
          <w:color w:val="000000" w:themeColor="text1"/>
        </w:rPr>
        <w:t xml:space="preserve"> The maximum study duration for each participant will be 18 months.</w:t>
      </w:r>
    </w:p>
    <w:p w14:paraId="380C40AE" w14:textId="77777777" w:rsidR="00A628AB" w:rsidRPr="00192FE3" w:rsidRDefault="00000000">
      <w:pPr>
        <w:rPr>
          <w:lang w:val="nl-BE"/>
        </w:rPr>
      </w:pPr>
      <w:r w:rsidRPr="00192FE3">
        <w:rPr>
          <w:i/>
          <w:color w:val="FF0000"/>
          <w:lang w:val="nl-BE"/>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7" w:name="_Toc229929315"/>
      <w:r w:rsidRPr="00273BD4">
        <w:rPr>
          <w:rFonts w:cs="Calibri"/>
        </w:rPr>
        <w:t>5. Study Procedures</w:t>
      </w:r>
      <w:bookmarkEnd w:id="17"/>
    </w:p>
    <w:p w14:paraId="461A9220" w14:textId="38EFAC89" w:rsidR="00E05F2F" w:rsidRPr="00273BD4" w:rsidRDefault="00681AF7" w:rsidP="00681AF7">
      <w:pPr>
        <w:pStyle w:val="Kop2"/>
        <w:rPr>
          <w:rFonts w:cs="Calibri"/>
        </w:rPr>
      </w:pPr>
      <w:bookmarkStart w:id="18" w:name="_Toc229929316"/>
      <w:r w:rsidRPr="00273BD4">
        <w:rPr>
          <w:rFonts w:cs="Calibri"/>
        </w:rPr>
        <w:t>5.1. Participant consent and withdrawal of consent</w:t>
      </w:r>
      <w:bookmarkEnd w:id="18"/>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19"/>
      <w:r w:rsidRPr="6898190B">
        <w:rPr>
          <w:rFonts w:ascii="Calibri" w:hAnsi="Calibri" w:cs="Calibri"/>
        </w:rPr>
        <w:t>.</w:t>
      </w:r>
      <w:commentRangeEnd w:id="19"/>
      <w:r w:rsidRPr="6898190B">
        <w:rPr>
          <w:rStyle w:val="Verwijzingopmerking"/>
          <w:rFonts w:ascii="Calibri" w:hAnsi="Calibri" w:cs="Calibri"/>
          <w:sz w:val="22"/>
          <w:szCs w:val="22"/>
        </w:rPr>
        <w:commentReference w:id="19"/>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14:paraId="08AD0686" w14:textId="77777777" w:rsidR="00A628AB" w:rsidRDefault="00000000">
      <w:r w:rsidRPr="00192FE3">
        <w:rPr>
          <w:i/>
          <w:color w:val="FF0000"/>
          <w:lang w:val="nl-BE"/>
        </w:rPr>
        <w:t xml:space="preserve">[Openstaand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w:t>
      </w:r>
      <w:r>
        <w:rPr>
          <w:i/>
          <w:color w:val="FF0000"/>
        </w:rPr>
        <w:t>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w:t>
      </w:r>
      <w:r w:rsidRPr="6898190B">
        <w:rPr>
          <w:rFonts w:ascii="Calibri" w:hAnsi="Calibri" w:cs="Calibri"/>
        </w:rPr>
        <w:lastRenderedPageBreak/>
        <w:t>in the Investigator Site File (ISF) at the participating site and will not be destroyed before the end of the required archiving period of 25 years, even if a scanned copy is available</w:t>
      </w:r>
      <w:commentRangeStart w:id="20"/>
      <w:r w:rsidRPr="6898190B">
        <w:rPr>
          <w:rFonts w:ascii="Calibri" w:hAnsi="Calibri" w:cs="Calibri"/>
        </w:rPr>
        <w:t>.</w:t>
      </w:r>
      <w:commentRangeEnd w:id="20"/>
      <w:r w:rsidRPr="003562B9">
        <w:rPr>
          <w:rStyle w:val="Verwijzingopmerking"/>
          <w:rFonts w:ascii="Calibri" w:hAnsi="Calibri" w:cs="Calibri"/>
          <w:sz w:val="22"/>
          <w:szCs w:val="22"/>
        </w:rPr>
        <w:commentReference w:id="20"/>
      </w:r>
    </w:p>
    <w:p w14:paraId="5BCDA45F" w14:textId="77777777" w:rsidR="00A628AB" w:rsidRDefault="00000000">
      <w:r w:rsidRPr="00192FE3">
        <w:rPr>
          <w:i/>
          <w:color w:val="FF0000"/>
          <w:lang w:val="nl-BE"/>
        </w:rPr>
        <w:t xml:space="preserve">[Openstaand punt — Fabienne: krijgt Leuven (coördinerend centrum) ook een kopie van de ICF's, of enkel opladen in REDCap? Belangrijk met het oog op auditklaarheid, vooral bij perifere centra met mogelijk minder archiefcapaciteit. </w:t>
      </w:r>
      <w:r>
        <w:rPr>
          <w:i/>
          <w:color w:val="FF0000"/>
        </w:rPr>
        <w:t>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1" w:name="_Toc229929317"/>
      <w:r w:rsidRPr="00273BD4">
        <w:t xml:space="preserve">5.1.1. </w:t>
      </w:r>
      <w:r w:rsidR="00C74DD3" w:rsidRPr="00273BD4">
        <w:t>Screening (before informed consent)</w:t>
      </w:r>
      <w:bookmarkEnd w:id="21"/>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2" w:name="_Toc229929318"/>
      <w:r w:rsidRPr="00273BD4">
        <w:t xml:space="preserve">5.1.2. </w:t>
      </w:r>
      <w:r w:rsidR="00BC682D" w:rsidRPr="00273BD4">
        <w:t>Informed Consent</w:t>
      </w:r>
      <w:bookmarkEnd w:id="22"/>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3"/>
      <w:r w:rsidRPr="6898190B">
        <w:rPr>
          <w:rFonts w:ascii="Calibri" w:hAnsi="Calibri" w:cs="Calibri"/>
        </w:rPr>
        <w:t>.</w:t>
      </w:r>
      <w:commentRangeEnd w:id="23"/>
      <w:r w:rsidRPr="6898190B">
        <w:rPr>
          <w:rStyle w:val="Verwijzingopmerking"/>
          <w:rFonts w:ascii="Calibri" w:hAnsi="Calibri" w:cs="Calibri"/>
          <w:sz w:val="22"/>
          <w:szCs w:val="22"/>
        </w:rPr>
        <w:commentReference w:id="23"/>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14:paraId="4081D989" w14:textId="77777777" w:rsidR="00A628AB" w:rsidRPr="00192FE3" w:rsidRDefault="00000000">
      <w:pPr>
        <w:rPr>
          <w:lang w:val="nl-BE"/>
        </w:rPr>
      </w:pPr>
      <w:r w:rsidRPr="00192FE3">
        <w:rPr>
          <w:i/>
          <w:color w:val="FF0000"/>
          <w:lang w:val="nl-BE"/>
        </w:rPr>
        <w:t>[Zie verzamelnota bij §5.1.1 (Screening) over wie screening/consent/uitleg doet — Fabienne's punt hier: mogelijk beter enkel door de arts, in functie van blindering en werklast podiatrist.]</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24" w:name="_Toc229929319"/>
      <w:r w:rsidRPr="00273BD4">
        <w:rPr>
          <w:rFonts w:cs="Calibri"/>
        </w:rPr>
        <w:t>5.2. Selection of Participants / Recruitment</w:t>
      </w:r>
      <w:bookmarkEnd w:id="24"/>
    </w:p>
    <w:p w14:paraId="62E02852" w14:textId="43D3B1A5" w:rsidR="0017463D" w:rsidRPr="00273BD4" w:rsidRDefault="0017463D" w:rsidP="00ED0CDC">
      <w:pPr>
        <w:pStyle w:val="Kop3"/>
      </w:pPr>
      <w:bookmarkStart w:id="25" w:name="_Toc229929320"/>
      <w:r w:rsidRPr="00273BD4">
        <w:t>5.2.1. Participant recruitment</w:t>
      </w:r>
      <w:bookmarkEnd w:id="25"/>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6"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6"/>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7" w:name="_Toc229929322"/>
      <w:r w:rsidRPr="00273BD4">
        <w:t>5.</w:t>
      </w:r>
      <w:r w:rsidR="0017463D" w:rsidRPr="00273BD4">
        <w:t>2</w:t>
      </w:r>
      <w:r w:rsidRPr="00273BD4">
        <w:t>.</w:t>
      </w:r>
      <w:r w:rsidR="0017463D" w:rsidRPr="00273BD4">
        <w:t>3</w:t>
      </w:r>
      <w:r w:rsidRPr="00273BD4">
        <w:t>. Therapist recruitment</w:t>
      </w:r>
      <w:bookmarkEnd w:id="27"/>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lastRenderedPageBreak/>
        <w:t>ICF</w:t>
      </w:r>
      <w:r w:rsidR="778D607B" w:rsidRPr="6898190B">
        <w:rPr>
          <w:rFonts w:ascii="Calibri" w:hAnsi="Calibri" w:cs="Calibri"/>
        </w:rPr>
        <w:t>)</w:t>
      </w:r>
      <w:r w:rsidRPr="6898190B">
        <w:rPr>
          <w:rFonts w:ascii="Calibri" w:hAnsi="Calibri" w:cs="Calibri"/>
        </w:rPr>
        <w:t xml:space="preserve">; </w:t>
      </w:r>
      <w:commentRangeStart w:id="28"/>
      <w:r w:rsidRPr="6898190B">
        <w:rPr>
          <w:rFonts w:ascii="Calibri" w:hAnsi="Calibri" w:cs="Calibri"/>
        </w:rPr>
        <w:t>will</w:t>
      </w:r>
      <w:commentRangeEnd w:id="28"/>
      <w:r w:rsidRPr="6898190B">
        <w:rPr>
          <w:rStyle w:val="Verwijzingopmerking"/>
          <w:rFonts w:ascii="Calibri" w:hAnsi="Calibri" w:cs="Calibri"/>
          <w:sz w:val="22"/>
          <w:szCs w:val="22"/>
        </w:rPr>
        <w:commentReference w:id="28"/>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51A27512" w14:textId="77777777" w:rsidR="00A628AB" w:rsidRDefault="00000000">
      <w:r w:rsidRPr="00192FE3">
        <w:rPr>
          <w:i/>
          <w:color w:val="FF0000"/>
          <w:lang w:val="nl-BE"/>
        </w:rPr>
        <w:t xml:space="preserve">[Zie verzamelnota bij §5.1.1 (Screening) over wie screening/consent/uitleg doet — Fabienne's punt hier: wie neemt consent af, en kan dit onder druk gebeuren indien door een arts? </w:t>
      </w:r>
      <w:r>
        <w:rPr>
          <w:i/>
          <w:color w:val="FF0000"/>
        </w:rPr>
        <w:t>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29"/>
      <w:r w:rsidRPr="6898190B">
        <w:rPr>
          <w:rFonts w:ascii="Calibri" w:hAnsi="Calibri" w:cs="Calibri"/>
        </w:rPr>
        <w:t>.</w:t>
      </w:r>
      <w:commentRangeEnd w:id="29"/>
      <w:r w:rsidRPr="6898190B">
        <w:rPr>
          <w:rStyle w:val="Verwijzingopmerking"/>
          <w:rFonts w:ascii="Calibri" w:hAnsi="Calibri" w:cs="Calibri"/>
          <w:sz w:val="22"/>
          <w:szCs w:val="22"/>
        </w:rPr>
        <w:commentReference w:id="29"/>
      </w:r>
      <w:r w:rsidRPr="6898190B">
        <w:rPr>
          <w:rFonts w:ascii="Calibri" w:hAnsi="Calibri" w:cs="Calibri"/>
        </w:rPr>
        <w:t xml:space="preserve"> As a result, therapists may be identifiable in these recordings.</w:t>
      </w:r>
    </w:p>
    <w:p w14:paraId="15523310" w14:textId="77777777" w:rsidR="00A628AB" w:rsidRPr="00192FE3" w:rsidRDefault="00000000">
      <w:pPr>
        <w:rPr>
          <w:lang w:val="nl-BE"/>
        </w:rPr>
      </w:pPr>
      <w:r w:rsidRPr="00192FE3">
        <w:rPr>
          <w:i/>
          <w:color w:val="FF0000"/>
          <w:lang w:val="nl-BE"/>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0" w:name="_Toc229929323"/>
      <w:r w:rsidRPr="00273BD4">
        <w:t>5.</w:t>
      </w:r>
      <w:r w:rsidR="0017463D" w:rsidRPr="00273BD4">
        <w:t>2</w:t>
      </w:r>
      <w:r w:rsidRPr="00273BD4">
        <w:t>.</w:t>
      </w:r>
      <w:r w:rsidR="0017463D" w:rsidRPr="00273BD4">
        <w:t>4</w:t>
      </w:r>
      <w:r w:rsidRPr="00273BD4">
        <w:t>. Management recruitment</w:t>
      </w:r>
      <w:bookmarkEnd w:id="30"/>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1"/>
      <w:r w:rsidRPr="6898190B">
        <w:rPr>
          <w:rFonts w:ascii="Calibri" w:hAnsi="Calibri" w:cs="Calibri"/>
        </w:rPr>
        <w:t>involved</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in the implementation of the PARADISE intervention, will be approached by the research team at the end of the study.</w:t>
      </w:r>
    </w:p>
    <w:p w14:paraId="2B85DA00" w14:textId="77777777" w:rsidR="00A628AB" w:rsidRDefault="00000000">
      <w:r w:rsidRPr="00192FE3">
        <w:rPr>
          <w:i/>
          <w:color w:val="FF0000"/>
          <w:lang w:val="nl-BE"/>
        </w:rPr>
        <w:t xml:space="preserve">[Openstaand punt — Fabienne: bestaat de rol ‘care pathway lead’ al op elke site, en wie vervult ze? </w:t>
      </w:r>
      <w:r>
        <w:rPr>
          <w:i/>
          <w:color w:val="FF0000"/>
        </w:rPr>
        <w:t>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2" w:name="_Toc229929324"/>
      <w:r w:rsidRPr="00273BD4">
        <w:rPr>
          <w:rFonts w:cs="Calibri"/>
        </w:rPr>
        <w:t>5.3. Choice of comparators and randomization</w:t>
      </w:r>
      <w:bookmarkEnd w:id="32"/>
    </w:p>
    <w:p w14:paraId="0A39839E" w14:textId="7C64CE6F" w:rsidR="009519E7" w:rsidRPr="00273BD4" w:rsidRDefault="0017463D" w:rsidP="0017463D">
      <w:pPr>
        <w:pStyle w:val="Kop2"/>
        <w:rPr>
          <w:rFonts w:cs="Calibri"/>
        </w:rPr>
      </w:pPr>
      <w:bookmarkStart w:id="33" w:name="_Toc229929325"/>
      <w:r w:rsidRPr="00273BD4">
        <w:rPr>
          <w:rFonts w:cs="Calibri"/>
        </w:rPr>
        <w:t xml:space="preserve">5.3.1. </w:t>
      </w:r>
      <w:r w:rsidR="00BC682D" w:rsidRPr="00273BD4">
        <w:rPr>
          <w:rFonts w:cs="Calibri"/>
        </w:rPr>
        <w:t>Motivation for the choice of comparators</w:t>
      </w:r>
      <w:bookmarkEnd w:id="3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4" w:name="_Toc229929326"/>
      <w:r w:rsidRPr="00273BD4">
        <w:rPr>
          <w:rFonts w:cs="Calibri"/>
        </w:rPr>
        <w:lastRenderedPageBreak/>
        <w:t xml:space="preserve">5.3.2. </w:t>
      </w:r>
      <w:r w:rsidR="00831FCA" w:rsidRPr="00273BD4">
        <w:rPr>
          <w:rFonts w:cs="Calibri"/>
        </w:rPr>
        <w:t>Randomization</w:t>
      </w:r>
      <w:bookmarkEnd w:id="3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5"/>
      <w:r w:rsidRPr="14A59B64">
        <w:rPr>
          <w:rFonts w:ascii="Calibri" w:hAnsi="Calibri" w:cs="Calibri"/>
        </w:rPr>
        <w:t>,</w:t>
      </w:r>
      <w:commentRangeEnd w:id="35"/>
      <w:r w:rsidRPr="14A59B64">
        <w:rPr>
          <w:rStyle w:val="Verwijzingopmerking"/>
          <w:rFonts w:ascii="Calibri" w:hAnsi="Calibri" w:cs="Calibri"/>
          <w:sz w:val="22"/>
          <w:szCs w:val="22"/>
        </w:rPr>
        <w:commentReference w:id="35"/>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6"/>
      <w:r w:rsidRPr="14A59B64">
        <w:rPr>
          <w:rFonts w:ascii="Calibri" w:hAnsi="Calibri" w:cs="Calibri"/>
        </w:rPr>
        <w:t>involved</w:t>
      </w:r>
      <w:commentRangeEnd w:id="36"/>
      <w:r w:rsidRPr="14A59B64">
        <w:rPr>
          <w:rStyle w:val="Verwijzingopmerking"/>
          <w:rFonts w:ascii="Calibri" w:hAnsi="Calibri" w:cs="Calibri"/>
          <w:sz w:val="22"/>
          <w:szCs w:val="22"/>
        </w:rPr>
        <w:commentReference w:id="36"/>
      </w:r>
      <w:r w:rsidRPr="14A59B64">
        <w:rPr>
          <w:rFonts w:ascii="Calibri" w:hAnsi="Calibri" w:cs="Calibri"/>
        </w:rPr>
        <w:t xml:space="preserve"> in the study.</w:t>
      </w:r>
    </w:p>
    <w:p w14:paraId="1FD0CDF4" w14:textId="77777777" w:rsidR="00A628AB" w:rsidRPr="00192FE3" w:rsidRDefault="00000000">
      <w:pPr>
        <w:rPr>
          <w:lang w:val="nl-BE"/>
        </w:rPr>
      </w:pPr>
      <w:r w:rsidRPr="00192FE3">
        <w:rPr>
          <w:i/>
          <w:color w:val="FF0000"/>
          <w:lang w:val="nl-BE"/>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192FE3" w:rsidRDefault="00396BA2" w:rsidP="002501EF">
      <w:pPr>
        <w:spacing w:after="0" w:line="240" w:lineRule="auto"/>
        <w:contextualSpacing/>
        <w:jc w:val="both"/>
        <w:rPr>
          <w:rFonts w:ascii="Calibri" w:hAnsi="Calibri" w:cs="Calibri"/>
          <w:b/>
          <w:bCs/>
          <w:sz w:val="24"/>
          <w:szCs w:val="24"/>
          <w:lang w:val="nl-BE"/>
        </w:rPr>
      </w:pPr>
    </w:p>
    <w:p w14:paraId="1EA1342A" w14:textId="3BC39FB9" w:rsidR="00CE6AAC" w:rsidRPr="00273BD4" w:rsidRDefault="3B153370" w:rsidP="0017463D">
      <w:pPr>
        <w:pStyle w:val="Kop2"/>
        <w:rPr>
          <w:rFonts w:cs="Calibri"/>
        </w:rPr>
      </w:pPr>
      <w:bookmarkStart w:id="37" w:name="_Toc229929327"/>
      <w:r w:rsidRPr="00273BD4">
        <w:rPr>
          <w:rFonts w:cs="Calibri"/>
        </w:rPr>
        <w:t>5.4. Trial treatment</w:t>
      </w:r>
      <w:bookmarkEnd w:id="37"/>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38" w:name="_Toc229929328"/>
      <w:r w:rsidRPr="00273BD4">
        <w:t xml:space="preserve">5.4.1. </w:t>
      </w:r>
      <w:r w:rsidR="002501EF" w:rsidRPr="00273BD4">
        <w:t>Usual Care</w:t>
      </w:r>
      <w:bookmarkEnd w:id="38"/>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39" w:name="_Toc229929329"/>
      <w:r w:rsidRPr="00273BD4">
        <w:t xml:space="preserve">5.4.2. </w:t>
      </w:r>
      <w:r w:rsidR="002501EF" w:rsidRPr="00273BD4">
        <w:t>Optimal Care</w:t>
      </w:r>
      <w:bookmarkEnd w:id="39"/>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w:t>
      </w:r>
      <w:r w:rsidRPr="00273BD4">
        <w:rPr>
          <w:rFonts w:ascii="Calibri" w:hAnsi="Calibri" w:cs="Calibri"/>
        </w:rPr>
        <w:lastRenderedPageBreak/>
        <w:t>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0"/>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0"/>
      <w:r w:rsidRPr="14A59B64">
        <w:rPr>
          <w:rStyle w:val="Verwijzingopmerking"/>
          <w:rFonts w:ascii="Calibri" w:hAnsi="Calibri" w:cs="Calibri"/>
          <w:sz w:val="22"/>
          <w:szCs w:val="22"/>
        </w:rPr>
        <w:commentReference w:id="40"/>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2F6E6F2" w14:textId="77777777" w:rsidR="00A628AB" w:rsidRDefault="00000000">
      <w:r w:rsidRPr="00192FE3">
        <w:rPr>
          <w:i/>
          <w:color w:val="FF0000"/>
          <w:lang w:val="nl-BE"/>
        </w:rPr>
        <w:t xml:space="preserve">[Openstaand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w:t>
      </w:r>
      <w:r>
        <w:rPr>
          <w:i/>
          <w:color w:val="FF0000"/>
        </w:rPr>
        <w:t>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1"/>
      <w:commentRangeStart w:id="42"/>
      <w:r w:rsidRPr="14A59B64">
        <w:rPr>
          <w:rFonts w:ascii="Calibri" w:hAnsi="Calibri" w:cs="Calibri"/>
        </w:rPr>
        <w:t>.</w:t>
      </w:r>
      <w:commentRangeEnd w:id="41"/>
      <w:r w:rsidRPr="14A59B64">
        <w:rPr>
          <w:rStyle w:val="Verwijzingopmerking"/>
          <w:rFonts w:ascii="Calibri" w:hAnsi="Calibri" w:cs="Calibri"/>
          <w:sz w:val="22"/>
          <w:szCs w:val="22"/>
        </w:rPr>
        <w:commentReference w:id="41"/>
      </w:r>
      <w:commentRangeEnd w:id="42"/>
      <w:r w:rsidRPr="14A59B64">
        <w:rPr>
          <w:rStyle w:val="Verwijzingopmerking"/>
          <w:rFonts w:ascii="Calibri" w:hAnsi="Calibri" w:cs="Calibri"/>
          <w:sz w:val="22"/>
          <w:szCs w:val="22"/>
        </w:rPr>
        <w:commentReference w:id="42"/>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w:t>
      </w:r>
      <w:r w:rsidRPr="14A59B64">
        <w:rPr>
          <w:rFonts w:ascii="Calibri" w:hAnsi="Calibri" w:cs="Calibri"/>
        </w:rPr>
        <w:lastRenderedPageBreak/>
        <w:t>intervention, likely due to wear of the cushioning materials. Alternating between the two pairs ensures that participants can continue wearing CMFO while maintenance adjustments are performed.</w:t>
      </w:r>
    </w:p>
    <w:p w14:paraId="6407EB53" w14:textId="77777777" w:rsidR="00A628AB" w:rsidRDefault="00000000">
      <w:r w:rsidRPr="00192FE3">
        <w:rPr>
          <w:i/>
          <w:color w:val="FF0000"/>
          <w:lang w:val="nl-BE"/>
        </w:rPr>
        <w:t xml:space="preserve">[Verduidelijking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w:t>
      </w:r>
      <w:r>
        <w:rPr>
          <w:i/>
          <w:color w:val="FF0000"/>
        </w:rPr>
        <w:t>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3"/>
      <w:r w:rsidR="002501EF" w:rsidRPr="14A59B64">
        <w:rPr>
          <w:rFonts w:ascii="Calibri" w:hAnsi="Calibri" w:cs="Calibri"/>
          <w:b/>
          <w:bCs/>
          <w:u w:val="single"/>
        </w:rPr>
        <w:t>):</w:t>
      </w:r>
      <w:commentRangeEnd w:id="43"/>
      <w:r w:rsidRPr="14A59B64">
        <w:rPr>
          <w:rStyle w:val="Verwijzingopmerking"/>
          <w:rFonts w:ascii="Calibri" w:hAnsi="Calibri" w:cs="Calibri"/>
          <w:b/>
          <w:bCs/>
          <w:sz w:val="22"/>
          <w:szCs w:val="22"/>
          <w:u w:val="single"/>
        </w:rPr>
        <w:commentReference w:id="43"/>
      </w:r>
      <w:r w:rsidR="002501EF" w:rsidRPr="14A59B64">
        <w:rPr>
          <w:rFonts w:ascii="Calibri" w:hAnsi="Calibri" w:cs="Calibri"/>
          <w:b/>
          <w:bCs/>
          <w:u w:val="single"/>
        </w:rPr>
        <w:t xml:space="preserve"> Delivering an Education and adherence support program using a 5-step personalized approach</w:t>
      </w:r>
    </w:p>
    <w:p w14:paraId="6DA0F66A" w14:textId="77777777" w:rsidR="00A628AB" w:rsidRPr="00192FE3" w:rsidRDefault="00000000">
      <w:pPr>
        <w:rPr>
          <w:lang w:val="nl-BE"/>
        </w:rPr>
      </w:pPr>
      <w:r w:rsidRPr="00192FE3">
        <w:rPr>
          <w:i/>
          <w:color w:val="FF0000"/>
          <w:lang w:val="nl-BE"/>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xml:space="preserve">. If the importance is rated below 8 on a 10-point scale, motivational interviewing strategies will be employed to enhance its significance. Should the importance be adequate, but confidence is low (score &lt; 8), barriers will be identified using the Monitor Orthopaedic </w:t>
      </w:r>
      <w:r w:rsidRPr="00532DE3">
        <w:rPr>
          <w:rFonts w:ascii="Calibri" w:hAnsi="Calibri" w:cs="Calibri"/>
          <w:color w:val="000000" w:themeColor="text1"/>
        </w:rPr>
        <w:lastRenderedPageBreak/>
        <w:t>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4" w:name="_Toc229929330"/>
      <w:r w:rsidRPr="00532DE3">
        <w:t xml:space="preserve">5.4.3. </w:t>
      </w:r>
      <w:r w:rsidR="00CE6AAC" w:rsidRPr="00273BD4">
        <w:t>Criteria for Discontinuing or Modifying Allocated Interventions</w:t>
      </w:r>
      <w:bookmarkEnd w:id="44"/>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5" w:name="_Toc229929331"/>
      <w:r w:rsidRPr="00273BD4">
        <w:t xml:space="preserve">5.4.4. </w:t>
      </w:r>
      <w:r w:rsidR="00CE6AAC" w:rsidRPr="00273BD4">
        <w:t>Relevant concomitant care permitted or prohibited during the trial</w:t>
      </w:r>
      <w:bookmarkEnd w:id="45"/>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6" w:name="_Toc229929332"/>
      <w:r w:rsidRPr="00273BD4">
        <w:t xml:space="preserve">5.4.5. </w:t>
      </w:r>
      <w:r w:rsidR="00BE3F45" w:rsidRPr="00273BD4">
        <w:t>Instrumentation</w:t>
      </w:r>
      <w:bookmarkEnd w:id="46"/>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7"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48" w:name="_Toc229929333"/>
      <w:r w:rsidRPr="00273BD4">
        <w:rPr>
          <w:rFonts w:cs="Calibri"/>
        </w:rPr>
        <w:lastRenderedPageBreak/>
        <w:t>5.5. Participants timeline</w:t>
      </w:r>
      <w:bookmarkEnd w:id="48"/>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49" w:name="_Toc229929334"/>
      <w:r>
        <w:t>5.5.1. Baseline Assessments to Confirm Eligibility (Visit 0)</w:t>
      </w:r>
      <w:bookmarkEnd w:id="49"/>
      <w:commentRangeStart w:id="50"/>
      <w:commentRangeEnd w:id="50"/>
      <w:r w:rsidRPr="00273BD4">
        <w:rPr>
          <w:rStyle w:val="Verwijzingopmerking"/>
          <w:sz w:val="26"/>
          <w:szCs w:val="28"/>
        </w:rPr>
        <w:commentReference w:id="50"/>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FDB472E" w14:textId="77777777" w:rsidR="00A628AB" w:rsidRDefault="00000000">
      <w:r w:rsidRPr="00192FE3">
        <w:rPr>
          <w:i/>
          <w:color w:val="FF0000"/>
          <w:lang w:val="nl-BE"/>
        </w:rPr>
        <w:t xml:space="preserve">[Openstaand punt — Fabienne: de titel ‘5.5.1 Baseline Assessments’ lijkt niet op de juiste plaats; de voorgaande zin over ulcusopvolging (‘In the event of a foot ulcer…’) hoort inhoudelijk eerder bij §5.5.6 (Unscheduled assessments due to foot ulceration) dan hier vlak vóór Visit 0. </w:t>
      </w:r>
      <w:r>
        <w:rPr>
          <w:i/>
          <w:color w:val="FF0000"/>
        </w:rPr>
        <w:t>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1" w:name="_Toc229929335"/>
      <w:r w:rsidRPr="00273BD4">
        <w:t>5.5.2. Baseline Assessments (Visit 1)</w:t>
      </w:r>
      <w:bookmarkEnd w:id="51"/>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2"/>
      <w:commentRangeEnd w:id="52"/>
      <w:r w:rsidRPr="00273BD4">
        <w:rPr>
          <w:rStyle w:val="Verwijzingopmerking"/>
          <w:rFonts w:ascii="Calibri" w:hAnsi="Calibri" w:cs="Calibri"/>
          <w:sz w:val="22"/>
          <w:szCs w:val="22"/>
        </w:rPr>
        <w:commentReference w:id="52"/>
      </w:r>
    </w:p>
    <w:p w14:paraId="4DC76706" w14:textId="77777777" w:rsidR="00A628AB" w:rsidRDefault="00000000">
      <w:r w:rsidRPr="00192FE3">
        <w:rPr>
          <w:i/>
          <w:color w:val="FF0000"/>
          <w:lang w:val="nl-BE"/>
        </w:rPr>
        <w:t xml:space="preserve">[Nazicht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w:t>
      </w:r>
      <w:r>
        <w:rPr>
          <w:i/>
          <w:color w:val="FF0000"/>
        </w:rPr>
        <w:t>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lastRenderedPageBreak/>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3" w:name="_Toc229929336"/>
      <w:r w:rsidRPr="00273BD4">
        <w:t>5.5.3. Visit 2 - Assessments (</w:t>
      </w:r>
      <w:r w:rsidR="00726E52" w:rsidRPr="00273BD4">
        <w:t>14 days</w:t>
      </w:r>
      <w:r w:rsidR="00AA4B69" w:rsidRPr="00273BD4">
        <w:t>- 1 month</w:t>
      </w:r>
      <w:r w:rsidRPr="00273BD4">
        <w:t>)</w:t>
      </w:r>
      <w:bookmarkEnd w:id="53"/>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4" w:name="_Toc229929337"/>
      <w:r w:rsidRPr="00273BD4">
        <w:t>5.5.4. Visits 3 to 8- Assessments (month 3 to month 18)</w:t>
      </w:r>
      <w:bookmarkEnd w:id="54"/>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5" w:name="_Toc229929338"/>
      <w:r w:rsidRPr="00273BD4">
        <w:t>5.5.5. Visit 4-6 and 8 – Additional Assessments (month 6-12-18)</w:t>
      </w:r>
      <w:bookmarkEnd w:id="55"/>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6" w:name="_Toc229929339"/>
      <w:r w:rsidRPr="00273BD4">
        <w:t>5.5.6. Unscheduled assessments due to foot ulceration</w:t>
      </w:r>
      <w:bookmarkEnd w:id="56"/>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 xml:space="preserve">If a foot ulcer is identified—either by the participant, the treating physician, or another healthcare professional—between scheduled three-monthly visits or during a routine visit, the investigator must </w:t>
      </w:r>
      <w:r w:rsidRPr="00273BD4">
        <w:rPr>
          <w:rFonts w:ascii="Calibri" w:hAnsi="Calibri" w:cs="Calibri"/>
          <w:sz w:val="22"/>
          <w:szCs w:val="22"/>
        </w:rPr>
        <w:lastRenderedPageBreak/>
        <w:t>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7" w:name="_Toc229929340"/>
      <w:r w:rsidRPr="001A7EEE">
        <w:t xml:space="preserve">5.6. </w:t>
      </w:r>
      <w:r w:rsidR="0004151A" w:rsidRPr="001A7EEE">
        <w:t>Design and timeline p</w:t>
      </w:r>
      <w:r w:rsidRPr="001A7EEE">
        <w:t>rocess evaluation</w:t>
      </w:r>
      <w:bookmarkEnd w:id="57"/>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58" w:name="_Toc229929341"/>
      <w:r w:rsidRPr="00273BD4">
        <w:rPr>
          <w:rFonts w:cs="Calibri"/>
        </w:rPr>
        <w:t>6</w:t>
      </w:r>
      <w:r w:rsidR="006E2DEF" w:rsidRPr="00273BD4">
        <w:rPr>
          <w:rFonts w:cs="Calibri"/>
        </w:rPr>
        <w:t>. Assessments of Safety</w:t>
      </w:r>
      <w:bookmarkEnd w:id="58"/>
    </w:p>
    <w:p w14:paraId="031CFD58" w14:textId="52EBA632" w:rsidR="006E2DEF" w:rsidRPr="00273BD4" w:rsidRDefault="006E2DEF" w:rsidP="006E2DEF">
      <w:pPr>
        <w:pStyle w:val="Kop2"/>
        <w:rPr>
          <w:rFonts w:cs="Calibri"/>
        </w:rPr>
      </w:pPr>
      <w:bookmarkStart w:id="59" w:name="_Toc229929342"/>
      <w:r w:rsidRPr="00273BD4">
        <w:rPr>
          <w:rFonts w:cs="Calibri"/>
        </w:rPr>
        <w:t>6.1. Specification, timing and recording of safety parameters</w:t>
      </w:r>
      <w:bookmarkEnd w:id="59"/>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lastRenderedPageBreak/>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0" w:name="_Toc229929343"/>
      <w:r w:rsidRPr="001A7EEE">
        <w:rPr>
          <w:rFonts w:cs="Calibri"/>
        </w:rPr>
        <w:t xml:space="preserve">6.2. </w:t>
      </w:r>
      <w:r w:rsidR="006E2DEF" w:rsidRPr="001A7EEE">
        <w:rPr>
          <w:rFonts w:cs="Calibri"/>
        </w:rPr>
        <w:t>Adverse events that do not require reporting</w:t>
      </w:r>
      <w:bookmarkEnd w:id="60"/>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1" w:name="_Toc229929344"/>
      <w:r w:rsidRPr="001A7EEE">
        <w:t xml:space="preserve">6.3. </w:t>
      </w:r>
      <w:r w:rsidR="006E2DEF" w:rsidRPr="001A7EEE">
        <w:t>Treatment stopping / interruption rules</w:t>
      </w:r>
      <w:bookmarkEnd w:id="61"/>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lastRenderedPageBreak/>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2" w:name="_Toc229929345"/>
      <w:bookmarkEnd w:id="47"/>
      <w:r w:rsidRPr="00273BD4">
        <w:rPr>
          <w:rFonts w:cs="Calibri"/>
        </w:rPr>
        <w:t>7. Statistics and Data Analysis</w:t>
      </w:r>
      <w:bookmarkEnd w:id="62"/>
    </w:p>
    <w:p w14:paraId="79F4DBCD" w14:textId="772981A5" w:rsidR="00544161" w:rsidRPr="00273BD4" w:rsidRDefault="00544161" w:rsidP="00544161">
      <w:pPr>
        <w:pStyle w:val="Kop2"/>
        <w:rPr>
          <w:rFonts w:cs="Calibri"/>
        </w:rPr>
      </w:pPr>
      <w:bookmarkStart w:id="63" w:name="_Toc229929346"/>
      <w:r w:rsidRPr="00273BD4">
        <w:rPr>
          <w:rFonts w:cs="Calibri"/>
        </w:rPr>
        <w:t>7.1. Statistical analysis plan</w:t>
      </w:r>
      <w:bookmarkEnd w:id="63"/>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w:t>
      </w:r>
      <w:r w:rsidRPr="00881DB4">
        <w:rPr>
          <w:rFonts w:ascii="Calibri" w:hAnsi="Calibri" w:cs="Calibri"/>
        </w:rPr>
        <w:lastRenderedPageBreak/>
        <w:t xml:space="preserve">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w:t>
      </w:r>
      <w:r w:rsidRPr="001A7EEE">
        <w:rPr>
          <w:rFonts w:ascii="Calibri" w:hAnsi="Calibri" w:cs="Calibri"/>
        </w:rPr>
        <w:lastRenderedPageBreak/>
        <w:t>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4" w:name="_Toc229929347"/>
      <w:r w:rsidRPr="00273BD4">
        <w:rPr>
          <w:rFonts w:cs="Calibri"/>
        </w:rPr>
        <w:t>8</w:t>
      </w:r>
      <w:r w:rsidR="00204979" w:rsidRPr="00273BD4">
        <w:rPr>
          <w:rFonts w:cs="Calibri"/>
        </w:rPr>
        <w:t>. Data handling</w:t>
      </w:r>
      <w:bookmarkEnd w:id="64"/>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5" w:name="_Toc229929348"/>
      <w:r w:rsidRPr="001A7EEE">
        <w:rPr>
          <w:rFonts w:cs="Calibri"/>
        </w:rPr>
        <w:t>8</w:t>
      </w:r>
      <w:r w:rsidR="00204979" w:rsidRPr="001A7EEE">
        <w:rPr>
          <w:rFonts w:cs="Calibri"/>
        </w:rPr>
        <w:t>.1. General data handling information</w:t>
      </w:r>
      <w:bookmarkEnd w:id="65"/>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w:t>
      </w:r>
      <w:r w:rsidRPr="001A7EEE">
        <w:rPr>
          <w:rFonts w:ascii="Calibri" w:hAnsi="Calibri" w:cs="Calibri"/>
          <w:sz w:val="22"/>
          <w:szCs w:val="22"/>
          <w:lang w:val="en-GB"/>
        </w:rPr>
        <w:lastRenderedPageBreak/>
        <w:t xml:space="preserve">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6" w:name="_Toc229929349"/>
      <w:r w:rsidRPr="00273BD4">
        <w:rPr>
          <w:rFonts w:cs="Calibri"/>
        </w:rPr>
        <w:t>8.2. Confidentiality</w:t>
      </w:r>
      <w:bookmarkEnd w:id="66"/>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7"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7"/>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 xml:space="preserve">Data from external devices, such as activity monitors (MoveMonitor, McRoberts, The Hague, the Netherlands) and adherence sensors (Orthotimer compliance sensor, Rollerwerk, Germany), will initially be stored on secure manufacturer servers. These data will be securely </w:t>
      </w:r>
      <w:r w:rsidRPr="001A7EEE">
        <w:rPr>
          <w:rFonts w:ascii="Calibri" w:hAnsi="Calibri" w:cs="Calibri"/>
          <w:lang w:val="en-GB"/>
        </w:rPr>
        <w:lastRenderedPageBreak/>
        <w:t>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68"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68"/>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69"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69"/>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0" w:name="_Toc229929353"/>
      <w:r w:rsidRPr="00273BD4">
        <w:rPr>
          <w:rFonts w:cs="Calibri"/>
        </w:rPr>
        <w:t>8.</w:t>
      </w:r>
      <w:r w:rsidR="009168CA" w:rsidRPr="00273BD4">
        <w:rPr>
          <w:rFonts w:cs="Calibri"/>
        </w:rPr>
        <w:t>6</w:t>
      </w:r>
      <w:r w:rsidRPr="00273BD4">
        <w:rPr>
          <w:rFonts w:cs="Calibri"/>
        </w:rPr>
        <w:t>. Study specific data handling information</w:t>
      </w:r>
      <w:bookmarkEnd w:id="70"/>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lastRenderedPageBreak/>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1" w:name="_Toc229929354"/>
      <w:r w:rsidRPr="001A7EEE">
        <w:rPr>
          <w:rFonts w:cs="Calibri"/>
        </w:rPr>
        <w:t>8.7. Direct Data Access</w:t>
      </w:r>
      <w:bookmarkEnd w:id="71"/>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2" w:name="_Toc229929355"/>
      <w:r w:rsidRPr="00273BD4">
        <w:rPr>
          <w:rFonts w:cs="Calibri"/>
        </w:rPr>
        <w:lastRenderedPageBreak/>
        <w:t xml:space="preserve">8.8. </w:t>
      </w:r>
      <w:r w:rsidR="005A3CFE" w:rsidRPr="00273BD4">
        <w:rPr>
          <w:rFonts w:cs="Calibri"/>
        </w:rPr>
        <w:t>Oversight and monitoring</w:t>
      </w:r>
      <w:bookmarkEnd w:id="72"/>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3" w:name="_Toc229929356"/>
      <w:r w:rsidRPr="00273BD4">
        <w:rPr>
          <w:rFonts w:cs="Calibri"/>
        </w:rPr>
        <w:t>9. Ethical and Regulatory Considerations</w:t>
      </w:r>
      <w:bookmarkEnd w:id="73"/>
    </w:p>
    <w:p w14:paraId="1A18DD87" w14:textId="6BE44429" w:rsidR="009168CA" w:rsidRPr="00273BD4" w:rsidRDefault="009168CA" w:rsidP="0038180F">
      <w:pPr>
        <w:pStyle w:val="Kop2"/>
        <w:rPr>
          <w:rFonts w:cs="Calibri"/>
        </w:rPr>
      </w:pPr>
      <w:bookmarkStart w:id="74" w:name="_Toc229929357"/>
      <w:r w:rsidRPr="00273BD4">
        <w:rPr>
          <w:rFonts w:cs="Calibri"/>
        </w:rPr>
        <w:t>9.1. Ethics Committee (EC) review &amp; reports</w:t>
      </w:r>
      <w:bookmarkEnd w:id="74"/>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5" w:name="_Toc229929358"/>
      <w:r w:rsidRPr="00273BD4">
        <w:rPr>
          <w:rFonts w:cs="Calibri"/>
        </w:rPr>
        <w:t>9.2. Protocol/GCP compliance</w:t>
      </w:r>
      <w:bookmarkEnd w:id="75"/>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6" w:name="_Toc229929359"/>
      <w:r w:rsidRPr="001A7EEE">
        <w:rPr>
          <w:rFonts w:cs="Calibri"/>
        </w:rPr>
        <w:t>9.3. Data protection and participant confidentiality</w:t>
      </w:r>
      <w:bookmarkEnd w:id="76"/>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7" w:name="_Toc229929360"/>
      <w:r w:rsidRPr="001A7EEE">
        <w:rPr>
          <w:rFonts w:cs="Calibri"/>
        </w:rPr>
        <w:lastRenderedPageBreak/>
        <w:t>10. Research Registration, Dissemination of Results and Publication Policy</w:t>
      </w:r>
      <w:bookmarkEnd w:id="77"/>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78" w:name="_Toc229929361"/>
      <w:r w:rsidRPr="00273BD4">
        <w:rPr>
          <w:rFonts w:eastAsia="Times New Roman" w:cs="Calibri"/>
        </w:rPr>
        <w:t>11. Insurance/Indemnity</w:t>
      </w:r>
      <w:bookmarkEnd w:id="78"/>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79" w:name="_Toc229929362"/>
      <w:r w:rsidRPr="00273BD4">
        <w:rPr>
          <w:rFonts w:eastAsia="Times New Roman"/>
        </w:rPr>
        <w:t>12. References</w:t>
      </w:r>
      <w:bookmarkEnd w:id="79"/>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lastRenderedPageBreak/>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lastRenderedPageBreak/>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lastRenderedPageBreak/>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9"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0"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1"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6"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19"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0"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3"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28"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29"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1"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5"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6"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0"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1"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2"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3"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0"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2"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C18EC" w14:textId="77777777" w:rsidR="006113F5" w:rsidRDefault="006113F5" w:rsidP="009D7BE7">
      <w:pPr>
        <w:spacing w:after="0" w:line="240" w:lineRule="auto"/>
      </w:pPr>
      <w:r>
        <w:separator/>
      </w:r>
    </w:p>
  </w:endnote>
  <w:endnote w:type="continuationSeparator" w:id="0">
    <w:p w14:paraId="373A5C2F" w14:textId="77777777" w:rsidR="006113F5" w:rsidRDefault="006113F5"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07C1" w14:textId="77777777" w:rsidR="006113F5" w:rsidRDefault="006113F5" w:rsidP="009D7BE7">
      <w:pPr>
        <w:spacing w:after="0" w:line="240" w:lineRule="auto"/>
      </w:pPr>
      <w:r>
        <w:separator/>
      </w:r>
    </w:p>
  </w:footnote>
  <w:footnote w:type="continuationSeparator" w:id="0">
    <w:p w14:paraId="34915873" w14:textId="77777777" w:rsidR="006113F5" w:rsidRDefault="006113F5"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000000"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000000" w:rsidRDefault="00DB5B56" w:rsidP="00DB5B56">
          <w:pPr>
            <w:pStyle w:val="245172AB6ABF403FA59BBA75C13C8CF5"/>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DB5B56"/>
    <w:rsid w:val="00E06B65"/>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DB5B56"/>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19096</Words>
  <Characters>105028</Characters>
  <Application>Microsoft Office Word</Application>
  <DocSecurity>0</DocSecurity>
  <Lines>875</Lines>
  <Paragraphs>247</Paragraphs>
  <ScaleCrop>false</ScaleCrop>
  <Company/>
  <LinksUpToDate>false</LinksUpToDate>
  <CharactersWithSpaces>123877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53</cp:revision>
  <dcterms:created xsi:type="dcterms:W3CDTF">2026-04-01T07:04:00Z</dcterms:created>
  <dcterms:modified xsi:type="dcterms:W3CDTF">2026-08-02T19:09:00Z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