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80"/>
      </w:pPr>
      <w:r>
        <w:rPr>
          <w:b/>
          <w:sz w:val="28"/>
        </w:rPr>
        <w:t>Novel pedar — in-shoe drukmeting</w:t>
      </w:r>
    </w:p>
    <w:p>
      <w:pPr>
        <w:keepNext/>
        <w:spacing w:before="120" w:after="80"/>
      </w:pPr>
      <w:r>
        <w:rPr>
          <w:b/>
          <w:sz w:val="24"/>
        </w:rPr>
        <w:t>Studie-informatie</w:t>
      </w:r>
    </w:p>
    <w:p>
      <w:r>
        <w:rPr>
          <w:b w:val="0"/>
          <w:i w:val="0"/>
          <w:sz w:val="20"/>
        </w:rPr>
        <w:t>Studie titel: Towards Pressure-Adherence &amp; Education Driven Service in Diabetic Foot Disease (PARADISE)</w:t>
      </w:r>
    </w:p>
    <w:p>
      <w:r>
        <w:rPr>
          <w:b w:val="0"/>
          <w:i w:val="0"/>
          <w:sz w:val="20"/>
        </w:rPr>
        <w:t>Protocolnummer: S71769</w:t>
      </w:r>
    </w:p>
    <w:p>
      <w:r>
        <w:rPr>
          <w:b w:val="0"/>
          <w:i w:val="0"/>
          <w:sz w:val="20"/>
        </w:rPr>
        <w:t>Studielocatie:</w:t>
      </w:r>
    </w:p>
    <w:p>
      <w:r>
        <w:rPr>
          <w:b w:val="0"/>
          <w:i w:val="0"/>
          <w:sz w:val="20"/>
        </w:rPr>
        <w:t>Hoofdonderzoeker (PI):</w:t>
      </w:r>
    </w:p>
    <w:p>
      <w:r>
        <w:rPr>
          <w:b w:val="0"/>
          <w:i w:val="0"/>
          <w:sz w:val="20"/>
        </w:rPr>
        <w:t>Deelnemerscode:</w:t>
      </w:r>
    </w:p>
    <w:p>
      <w:r>
        <w:rPr>
          <w:b w:val="0"/>
          <w:i w:val="0"/>
          <w:sz w:val="20"/>
        </w:rPr>
        <w:t>Visite:                                    Datum:</w:t>
      </w:r>
    </w:p>
    <w:p>
      <w:r>
        <w:rPr>
          <w:b w:val="0"/>
          <w:i w:val="0"/>
          <w:sz w:val="20"/>
        </w:rPr>
      </w:r>
    </w:p>
    <w:p>
      <w:r>
        <w:rPr>
          <w:b w:val="0"/>
          <w:i/>
          <w:sz w:val="20"/>
        </w:rPr>
        <w:t>Hoort bij eCRF 09 (drukmeting baseline) en eCRF 24 (drukherverdeling voetorthese). Software: novel studio v1.20.0.340.</w:t>
      </w:r>
    </w:p>
    <w:p>
      <w:pPr>
        <w:keepNext/>
        <w:spacing w:before="200" w:after="80"/>
      </w:pPr>
      <w:r>
        <w:rPr>
          <w:b/>
          <w:sz w:val="24"/>
        </w:rPr>
        <w:t>1. De opstelling</w:t>
      </w:r>
    </w:p>
    <w:p>
      <w:pPr>
        <w:keepNext/>
        <w:spacing w:before="160"/>
      </w:pPr>
      <w:r>
        <w:rPr>
          <w:b/>
          <w:sz w:val="18"/>
        </w:rPr>
        <w:t>Figure 1: De router op de rand van het looppad</w:t>
      </w:r>
    </w:p>
    <w:p>
      <w:pPr>
        <w:spacing w:after="160"/>
        <w:jc w:val="center"/>
      </w:pPr>
      <w:r>
        <w:drawing>
          <wp:inline xmlns:a="http://schemas.openxmlformats.org/drawingml/2006/main" xmlns:pic="http://schemas.openxmlformats.org/drawingml/2006/picture">
            <wp:extent cx="3420000" cy="2563614"/>
            <wp:docPr id="1" name="Picture 1"/>
            <wp:cNvGraphicFramePr>
              <a:graphicFrameLocks noChangeAspect="1"/>
            </wp:cNvGraphicFramePr>
            <a:graphic>
              <a:graphicData uri="http://schemas.openxmlformats.org/drawingml/2006/picture">
                <pic:pic>
                  <pic:nvPicPr>
                    <pic:cNvPr id="0" name="20260910_100935.jpg"/>
                    <pic:cNvPicPr/>
                  </pic:nvPicPr>
                  <pic:blipFill>
                    <a:blip r:embed="rId10"/>
                    <a:stretch>
                      <a:fillRect/>
                    </a:stretch>
                  </pic:blipFill>
                  <pic:spPr>
                    <a:xfrm>
                      <a:off x="0" y="0"/>
                      <a:ext cx="3420000" cy="2563614"/>
                    </a:xfrm>
                    <a:prstGeom prst="rect"/>
                  </pic:spPr>
                </pic:pic>
              </a:graphicData>
            </a:graphic>
          </wp:inline>
        </w:drawing>
      </w:r>
    </w:p>
    <w:p>
      <w:pPr>
        <w:ind w:left="397" w:hanging="397"/>
      </w:pPr>
      <w:r>
        <w:rPr>
          <w:b/>
        </w:rPr>
        <w:t xml:space="preserve">1. </w:t>
      </w:r>
      <w:r>
        <w:t>Zet de router aan. Het netwerk heet plidarRouterE046; de toestellen praten daarover met de laptop.</w:t>
      </w:r>
    </w:p>
    <w:p>
      <w:pPr>
        <w:ind w:left="397" w:hanging="397"/>
      </w:pPr>
      <w:r>
        <w:rPr>
          <w:b/>
        </w:rPr>
        <w:t xml:space="preserve">2. </w:t>
      </w:r>
      <w:r>
        <w:t>Zorg voor een vlakke looproute van minstens 10 meter, vrij van obstakels, binnen bereik van de router.</w:t>
      </w:r>
    </w:p>
    <w:p>
      <w:pPr>
        <w:ind w:left="397" w:hanging="397"/>
      </w:pPr>
      <w:r>
        <w:rPr>
          <w:b/>
        </w:rPr>
        <w:t xml:space="preserve">3. </w:t>
      </w:r>
      <w:r>
        <w:t>Start novel studio op de laptop.</w:t>
      </w:r>
    </w:p>
    <w:p>
      <w:pPr>
        <w:keepNext/>
        <w:spacing w:before="200" w:after="80"/>
      </w:pPr>
      <w:r>
        <w:rPr>
          <w:b/>
          <w:sz w:val="24"/>
        </w:rPr>
        <w:t>2. De juiste zool kiezen — dit is de belangrijkste stap</w:t>
      </w:r>
    </w:p>
    <w:p>
      <w:r>
        <w:rPr>
          <w:b/>
          <w:i w:val="0"/>
          <w:sz w:val="20"/>
        </w:rPr>
        <w:t>Elke zool heeft een eigen maat én een eigen kalibratie. Kies je de verkeerde zool of het verkeerde configuratiebestand, dan meet de software gewoon door en geeft ze verkeerde drukwaarden zonder te waarschuwen. Er is geen controle die dat achteraf vangt.</w:t>
      </w:r>
    </w:p>
    <w:p>
      <w:pPr>
        <w:keepNext/>
        <w:spacing w:before="160"/>
      </w:pPr>
      <w:r>
        <w:rPr>
          <w:b/>
          <w:sz w:val="18"/>
        </w:rPr>
        <w:t>Figure 2: Het label op de zool: XW.830R — maat XW, nummer 830, rechts</w:t>
      </w:r>
    </w:p>
    <w:p>
      <w:pPr>
        <w:spacing w:after="160"/>
        <w:jc w:val="center"/>
      </w:pPr>
      <w:r>
        <w:drawing>
          <wp:inline xmlns:a="http://schemas.openxmlformats.org/drawingml/2006/main" xmlns:pic="http://schemas.openxmlformats.org/drawingml/2006/picture">
            <wp:extent cx="2880000" cy="2160000"/>
            <wp:docPr id="2" name="Picture 2"/>
            <wp:cNvGraphicFramePr>
              <a:graphicFrameLocks noChangeAspect="1"/>
            </wp:cNvGraphicFramePr>
            <a:graphic>
              <a:graphicData uri="http://schemas.openxmlformats.org/drawingml/2006/picture">
                <pic:pic>
                  <pic:nvPicPr>
                    <pic:cNvPr id="0" name="20260910_101052.jpg"/>
                    <pic:cNvPicPr/>
                  </pic:nvPicPr>
                  <pic:blipFill>
                    <a:blip r:embed="rId11"/>
                    <a:stretch>
                      <a:fillRect/>
                    </a:stretch>
                  </pic:blipFill>
                  <pic:spPr>
                    <a:xfrm>
                      <a:off x="0" y="0"/>
                      <a:ext cx="2880000" cy="2160000"/>
                    </a:xfrm>
                    <a:prstGeom prst="rect"/>
                  </pic:spPr>
                </pic:pic>
              </a:graphicData>
            </a:graphic>
          </wp:inline>
        </w:drawing>
      </w:r>
    </w:p>
    <w:p>
      <w:pPr>
        <w:ind w:left="340"/>
      </w:pPr>
      <w:r>
        <w:rPr>
          <w:b w:val="0"/>
          <w:i w:val="0"/>
          <w:sz w:val="20"/>
        </w:rPr>
        <w:t>Het label leest van links naar rechts: de maat (XW), het volgnummer van deze zool (830) en de kant (R). Dat is precies de code die in de naam van het configuratiebestand terugkomt: plidar-G026R_xw830R.</w:t>
      </w:r>
    </w:p>
    <w:p>
      <w:r>
        <w:rPr>
          <w:b w:val="0"/>
          <w:i w:val="0"/>
          <w:sz w:val="20"/>
        </w:rPr>
      </w:r>
    </w:p>
    <w:p>
      <w:r>
        <w:rPr>
          <w:b/>
          <w:i w:val="0"/>
          <w:sz w:val="20"/>
        </w:rPr>
        <w:t>De studie heeft vijf maten in huis, allemaal wide (W):</w:t>
      </w:r>
    </w:p>
    <w:tbl>
      <w:tblPr>
        <w:tblStyle w:val="TableGrid"/>
        <w:tblW w:type="auto" w:w="0"/>
        <w:jc w:val="left"/>
        <w:tblLook w:firstColumn="1" w:firstRow="1" w:lastColumn="0" w:lastRow="0" w:noHBand="0" w:noVBand="1" w:val="04A0"/>
      </w:tblPr>
      <w:tblGrid>
        <w:gridCol w:w="2268"/>
        <w:gridCol w:w="2268"/>
        <w:gridCol w:w="2268"/>
        <w:gridCol w:w="2268"/>
      </w:tblGrid>
      <w:tr>
        <w:tc>
          <w:tcPr>
            <w:tcW w:type="dxa" w:w="1247"/>
          </w:tcPr>
          <w:p>
            <w:r/>
            <w:r>
              <w:rPr>
                <w:b/>
                <w:sz w:val="18"/>
              </w:rPr>
              <w:t>Maat</w:t>
            </w:r>
          </w:p>
        </w:tc>
        <w:tc>
          <w:tcPr>
            <w:tcW w:type="dxa" w:w="1928"/>
          </w:tcPr>
          <w:p>
            <w:r/>
            <w:r>
              <w:rPr>
                <w:b/>
                <w:sz w:val="18"/>
              </w:rPr>
              <w:t>EU-schoenmaat</w:t>
            </w:r>
          </w:p>
        </w:tc>
        <w:tc>
          <w:tcPr>
            <w:tcW w:type="dxa" w:w="2268"/>
          </w:tcPr>
          <w:p>
            <w:r/>
            <w:r>
              <w:rPr>
                <w:b/>
                <w:sz w:val="18"/>
              </w:rPr>
              <w:t>Zool links</w:t>
            </w:r>
          </w:p>
        </w:tc>
        <w:tc>
          <w:tcPr>
            <w:tcW w:type="dxa" w:w="2268"/>
          </w:tcPr>
          <w:p>
            <w:r/>
            <w:r>
              <w:rPr>
                <w:b/>
                <w:sz w:val="18"/>
              </w:rPr>
              <w:t>Zool rechts</w:t>
            </w:r>
          </w:p>
        </w:tc>
      </w:tr>
      <w:tr>
        <w:tc>
          <w:tcPr>
            <w:tcW w:type="dxa" w:w="1247"/>
          </w:tcPr>
          <w:p>
            <w:r/>
            <w:r>
              <w:rPr>
                <w:sz w:val="18"/>
              </w:rPr>
              <w:t>UW</w:t>
            </w:r>
          </w:p>
        </w:tc>
        <w:tc>
          <w:tcPr>
            <w:tcW w:type="dxa" w:w="1928"/>
          </w:tcPr>
          <w:p>
            <w:r/>
            <w:r>
              <w:rPr>
                <w:sz w:val="18"/>
              </w:rPr>
              <w:t>36/37</w:t>
            </w:r>
          </w:p>
        </w:tc>
        <w:tc>
          <w:tcPr>
            <w:tcW w:type="dxa" w:w="2268"/>
          </w:tcPr>
          <w:p>
            <w:r/>
            <w:r>
              <w:rPr>
                <w:sz w:val="18"/>
              </w:rPr>
              <w:t>UW.389L</w:t>
            </w:r>
          </w:p>
        </w:tc>
        <w:tc>
          <w:tcPr>
            <w:tcW w:type="dxa" w:w="2268"/>
          </w:tcPr>
          <w:p>
            <w:r/>
            <w:r>
              <w:rPr>
                <w:sz w:val="18"/>
              </w:rPr>
              <w:t>UW.384R</w:t>
            </w:r>
          </w:p>
        </w:tc>
      </w:tr>
      <w:tr>
        <w:tc>
          <w:tcPr>
            <w:tcW w:type="dxa" w:w="1247"/>
          </w:tcPr>
          <w:p>
            <w:r/>
            <w:r>
              <w:rPr>
                <w:sz w:val="18"/>
              </w:rPr>
              <w:t>VW</w:t>
            </w:r>
          </w:p>
        </w:tc>
        <w:tc>
          <w:tcPr>
            <w:tcW w:type="dxa" w:w="1928"/>
          </w:tcPr>
          <w:p>
            <w:r/>
            <w:r>
              <w:rPr>
                <w:sz w:val="18"/>
              </w:rPr>
              <w:t>38/39</w:t>
            </w:r>
          </w:p>
        </w:tc>
        <w:tc>
          <w:tcPr>
            <w:tcW w:type="dxa" w:w="2268"/>
          </w:tcPr>
          <w:p>
            <w:r/>
            <w:r>
              <w:rPr>
                <w:sz w:val="18"/>
              </w:rPr>
              <w:t>VW.607L</w:t>
            </w:r>
          </w:p>
        </w:tc>
        <w:tc>
          <w:tcPr>
            <w:tcW w:type="dxa" w:w="2268"/>
          </w:tcPr>
          <w:p>
            <w:r/>
            <w:r>
              <w:rPr>
                <w:sz w:val="18"/>
              </w:rPr>
              <w:t>VW.606R</w:t>
            </w:r>
          </w:p>
        </w:tc>
      </w:tr>
      <w:tr>
        <w:tc>
          <w:tcPr>
            <w:tcW w:type="dxa" w:w="1247"/>
          </w:tcPr>
          <w:p>
            <w:r/>
            <w:r>
              <w:rPr>
                <w:sz w:val="18"/>
              </w:rPr>
              <w:t>WW</w:t>
            </w:r>
          </w:p>
        </w:tc>
        <w:tc>
          <w:tcPr>
            <w:tcW w:type="dxa" w:w="1928"/>
          </w:tcPr>
          <w:p>
            <w:r/>
            <w:r>
              <w:rPr>
                <w:sz w:val="18"/>
              </w:rPr>
              <w:t>40/41</w:t>
            </w:r>
          </w:p>
        </w:tc>
        <w:tc>
          <w:tcPr>
            <w:tcW w:type="dxa" w:w="2268"/>
          </w:tcPr>
          <w:p>
            <w:r/>
            <w:r>
              <w:rPr>
                <w:sz w:val="18"/>
              </w:rPr>
              <w:t>WW.727L</w:t>
            </w:r>
          </w:p>
        </w:tc>
        <w:tc>
          <w:tcPr>
            <w:tcW w:type="dxa" w:w="2268"/>
          </w:tcPr>
          <w:p>
            <w:r/>
            <w:r>
              <w:rPr>
                <w:sz w:val="18"/>
              </w:rPr>
              <w:t>WW.728R</w:t>
            </w:r>
          </w:p>
        </w:tc>
      </w:tr>
      <w:tr>
        <w:tc>
          <w:tcPr>
            <w:tcW w:type="dxa" w:w="1247"/>
          </w:tcPr>
          <w:p>
            <w:r/>
            <w:r>
              <w:rPr>
                <w:sz w:val="18"/>
              </w:rPr>
              <w:t>XW</w:t>
            </w:r>
          </w:p>
        </w:tc>
        <w:tc>
          <w:tcPr>
            <w:tcW w:type="dxa" w:w="1928"/>
          </w:tcPr>
          <w:p>
            <w:r/>
            <w:r>
              <w:rPr>
                <w:sz w:val="18"/>
              </w:rPr>
              <w:t>42/43</w:t>
            </w:r>
          </w:p>
        </w:tc>
        <w:tc>
          <w:tcPr>
            <w:tcW w:type="dxa" w:w="2268"/>
          </w:tcPr>
          <w:p>
            <w:r/>
            <w:r>
              <w:rPr>
                <w:sz w:val="18"/>
              </w:rPr>
              <w:t>XW.831L</w:t>
            </w:r>
          </w:p>
        </w:tc>
        <w:tc>
          <w:tcPr>
            <w:tcW w:type="dxa" w:w="2268"/>
          </w:tcPr>
          <w:p>
            <w:r/>
            <w:r>
              <w:rPr>
                <w:sz w:val="18"/>
              </w:rPr>
              <w:t>XW.830R</w:t>
            </w:r>
          </w:p>
        </w:tc>
      </w:tr>
      <w:tr>
        <w:tc>
          <w:tcPr>
            <w:tcW w:type="dxa" w:w="1247"/>
          </w:tcPr>
          <w:p>
            <w:r/>
            <w:r>
              <w:rPr>
                <w:sz w:val="18"/>
              </w:rPr>
              <w:t>YW</w:t>
            </w:r>
          </w:p>
        </w:tc>
        <w:tc>
          <w:tcPr>
            <w:tcW w:type="dxa" w:w="1928"/>
          </w:tcPr>
          <w:p>
            <w:r/>
            <w:r>
              <w:rPr>
                <w:sz w:val="18"/>
              </w:rPr>
              <w:t>44/45</w:t>
            </w:r>
          </w:p>
        </w:tc>
        <w:tc>
          <w:tcPr>
            <w:tcW w:type="dxa" w:w="2268"/>
          </w:tcPr>
          <w:p>
            <w:r/>
            <w:r>
              <w:rPr>
                <w:sz w:val="18"/>
              </w:rPr>
              <w:t>YW.709L</w:t>
            </w:r>
          </w:p>
        </w:tc>
        <w:tc>
          <w:tcPr>
            <w:tcW w:type="dxa" w:w="2268"/>
          </w:tcPr>
          <w:p>
            <w:r/>
            <w:r>
              <w:rPr>
                <w:sz w:val="18"/>
              </w:rPr>
              <w:t>YW.712R</w:t>
            </w:r>
          </w:p>
        </w:tc>
      </w:tr>
    </w:tbl>
    <w:p/>
    <w:p>
      <w:r>
        <w:rPr>
          <w:b w:val="0"/>
          <w:i/>
          <w:sz w:val="20"/>
        </w:rPr>
        <w:t>De EU-maten komen uit de pedar® Insole Catalogue van novel gmbh. Elke maat dekt twee schoenmaten. Er is géén ZW (46/47) aangekocht: een deelnemer met schoenmaat 46 of groter kan met deze voorraad niet gemeten worden.</w:t>
      </w:r>
    </w:p>
    <w:p>
      <w:r>
        <w:rPr>
          <w:b w:val="0"/>
          <w:i w:val="0"/>
          <w:sz w:val="20"/>
        </w:rPr>
      </w:r>
    </w:p>
    <w:p>
      <w:pPr>
        <w:ind w:left="397" w:hanging="397"/>
      </w:pPr>
      <w:r>
        <w:rPr>
          <w:b/>
        </w:rPr>
        <w:t xml:space="preserve">4. </w:t>
      </w:r>
      <w:r>
        <w:t>Vraag de schoenmaat van de deelnemer en kies de zool uit de tabel hierboven.</w:t>
      </w:r>
    </w:p>
    <w:p>
      <w:pPr>
        <w:ind w:left="397" w:hanging="397"/>
      </w:pPr>
      <w:r>
        <w:rPr>
          <w:b/>
        </w:rPr>
        <w:t xml:space="preserve">5. </w:t>
      </w:r>
      <w:r>
        <w:t>Lees het label op de zool en noteer de volledige code, bijvoorbeeld XW.830R, op het formulier. Je hebt ze straks nodig om het configuratiebestand te kiezen.</w:t>
      </w:r>
    </w:p>
    <w:p>
      <w:pPr>
        <w:ind w:left="397" w:hanging="397"/>
      </w:pPr>
      <w:r>
        <w:rPr>
          <w:b/>
        </w:rPr>
        <w:t xml:space="preserve">6. </w:t>
      </w:r>
      <w:r>
        <w:t>Controleer dat je een linker- en een rechterzool van dezelfde maat neemt.</w:t>
      </w:r>
    </w:p>
    <w:p>
      <w:pPr>
        <w:keepNext/>
        <w:spacing w:before="160"/>
      </w:pPr>
      <w:r>
        <w:rPr>
          <w:b/>
          <w:sz w:val="18"/>
        </w:rPr>
        <w:t>Figure 3: De zender plidar-G009 L, met de pedar-connector; de L staat voor links</w:t>
      </w:r>
    </w:p>
    <w:p>
      <w:pPr>
        <w:spacing w:after="160"/>
        <w:jc w:val="center"/>
      </w:pPr>
      <w:r>
        <w:drawing>
          <wp:inline xmlns:a="http://schemas.openxmlformats.org/drawingml/2006/main" xmlns:pic="http://schemas.openxmlformats.org/drawingml/2006/picture">
            <wp:extent cx="2880000" cy="2158276"/>
            <wp:docPr id="3" name="Picture 3"/>
            <wp:cNvGraphicFramePr>
              <a:graphicFrameLocks noChangeAspect="1"/>
            </wp:cNvGraphicFramePr>
            <a:graphic>
              <a:graphicData uri="http://schemas.openxmlformats.org/drawingml/2006/picture">
                <pic:pic>
                  <pic:nvPicPr>
                    <pic:cNvPr id="0" name="20260910_101023.jpg"/>
                    <pic:cNvPicPr/>
                  </pic:nvPicPr>
                  <pic:blipFill>
                    <a:blip r:embed="rId12"/>
                    <a:stretch>
                      <a:fillRect/>
                    </a:stretch>
                  </pic:blipFill>
                  <pic:spPr>
                    <a:xfrm>
                      <a:off x="0" y="0"/>
                      <a:ext cx="2880000" cy="2158276"/>
                    </a:xfrm>
                    <a:prstGeom prst="rect"/>
                  </pic:spPr>
                </pic:pic>
              </a:graphicData>
            </a:graphic>
          </wp:inline>
        </w:drawing>
      </w:r>
    </w:p>
    <w:p>
      <w:pPr>
        <w:ind w:left="397" w:hanging="397"/>
      </w:pPr>
      <w:r>
        <w:rPr>
          <w:b/>
        </w:rPr>
        <w:t xml:space="preserve">7. </w:t>
      </w:r>
      <w:r>
        <w:t>Sluit de linkerzool aan op de zender met L in de naam, en de rechterzool op die met R. De letter op de connector en op de zender moeten overeenkomen.</w:t>
      </w:r>
    </w:p>
    <w:p>
      <w:pPr>
        <w:ind w:left="397" w:hanging="397"/>
      </w:pPr>
      <w:r>
        <w:rPr>
          <w:b/>
        </w:rPr>
        <w:t xml:space="preserve">8. </w:t>
      </w:r>
      <w:r>
        <w:t>Leg de zool vlak in de schoen, onder de bestaande inlegzool of onder de CMFO, zonder plooien. Leid de kabel langs de zijkant naar buiten en zet de zender vast op het onderbeen of de enkel.</w:t>
      </w:r>
    </w:p>
    <w:p>
      <w:pPr>
        <w:keepNext/>
        <w:spacing w:before="200" w:after="80"/>
      </w:pPr>
      <w:r>
        <w:rPr>
          <w:b/>
          <w:sz w:val="24"/>
        </w:rPr>
        <w:t>3. Toestellen verbinden</w:t>
      </w:r>
    </w:p>
    <w:p>
      <w:pPr>
        <w:keepNext/>
        <w:spacing w:before="160"/>
      </w:pPr>
      <w:r>
        <w:rPr>
          <w:b/>
          <w:sz w:val="18"/>
        </w:rPr>
        <w:t>Figure 4: Manage Devices — toestellen nog niet verbonden</w:t>
      </w:r>
    </w:p>
    <w:p>
      <w:pPr>
        <w:spacing w:after="160"/>
        <w:jc w:val="center"/>
      </w:pPr>
      <w:r>
        <w:drawing>
          <wp:inline xmlns:a="http://schemas.openxmlformats.org/drawingml/2006/main" xmlns:pic="http://schemas.openxmlformats.org/drawingml/2006/picture">
            <wp:extent cx="5760000" cy="3430340"/>
            <wp:docPr id="4" name="Picture 4"/>
            <wp:cNvGraphicFramePr>
              <a:graphicFrameLocks noChangeAspect="1"/>
            </wp:cNvGraphicFramePr>
            <a:graphic>
              <a:graphicData uri="http://schemas.openxmlformats.org/drawingml/2006/picture">
                <pic:pic>
                  <pic:nvPicPr>
                    <pic:cNvPr id="0" name="Schermafbeelding 2026-09-10 100244.png"/>
                    <pic:cNvPicPr/>
                  </pic:nvPicPr>
                  <pic:blipFill>
                    <a:blip r:embed="rId13"/>
                    <a:stretch>
                      <a:fillRect/>
                    </a:stretch>
                  </pic:blipFill>
                  <pic:spPr>
                    <a:xfrm>
                      <a:off x="0" y="0"/>
                      <a:ext cx="5760000" cy="3430340"/>
                    </a:xfrm>
                    <a:prstGeom prst="rect"/>
                  </pic:spPr>
                </pic:pic>
              </a:graphicData>
            </a:graphic>
          </wp:inline>
        </w:drawing>
      </w:r>
    </w:p>
    <w:p>
      <w:pPr>
        <w:ind w:left="397" w:hanging="397"/>
      </w:pPr>
      <w:r>
        <w:rPr>
          <w:b/>
        </w:rPr>
        <w:t xml:space="preserve">9. </w:t>
      </w:r>
      <w:r>
        <w:t>Ga naar ‘Manage Devices’ en klik op ‘Scan Wi-Fi’ bij ‘pedar &amp; pliance’.</w:t>
      </w:r>
    </w:p>
    <w:p>
      <w:pPr>
        <w:ind w:left="397" w:hanging="397"/>
      </w:pPr>
      <w:r>
        <w:rPr>
          <w:b/>
        </w:rPr>
        <w:t xml:space="preserve">10. </w:t>
      </w:r>
      <w:r>
        <w:t>Er verschijnen twee toestellen. Staat er ‘Device lost’, klik dan op ‘Connect’ onder elk toestel.</w:t>
      </w:r>
    </w:p>
    <w:p>
      <w:pPr>
        <w:ind w:left="340"/>
      </w:pPr>
      <w:r>
        <w:rPr>
          <w:b w:val="0"/>
          <w:i/>
          <w:sz w:val="20"/>
        </w:rPr>
        <w:t>In de opstelling in Brugge krijgt links 192.168.123.101 en rechts 192.168.123.100. Die adressen deelt de router uit en ze kunnen elders anders zijn — ga af op de naam van het toestel, niet op het IP.</w:t>
      </w:r>
    </w:p>
    <w:p>
      <w:pPr>
        <w:keepNext/>
        <w:spacing w:before="160"/>
      </w:pPr>
      <w:r>
        <w:rPr>
          <w:b/>
          <w:sz w:val="18"/>
        </w:rPr>
        <w:t>Figure 5: Manage Devices — beide toestellen verbonden en klaar</w:t>
      </w:r>
    </w:p>
    <w:p>
      <w:pPr>
        <w:spacing w:after="160"/>
        <w:jc w:val="center"/>
      </w:pPr>
      <w:r>
        <w:drawing>
          <wp:inline xmlns:a="http://schemas.openxmlformats.org/drawingml/2006/main" xmlns:pic="http://schemas.openxmlformats.org/drawingml/2006/picture">
            <wp:extent cx="5760000" cy="3432591"/>
            <wp:docPr id="5" name="Picture 5"/>
            <wp:cNvGraphicFramePr>
              <a:graphicFrameLocks noChangeAspect="1"/>
            </wp:cNvGraphicFramePr>
            <a:graphic>
              <a:graphicData uri="http://schemas.openxmlformats.org/drawingml/2006/picture">
                <pic:pic>
                  <pic:nvPicPr>
                    <pic:cNvPr id="0" name="Schermafbeelding 2026-09-10 101213.png"/>
                    <pic:cNvPicPr/>
                  </pic:nvPicPr>
                  <pic:blipFill>
                    <a:blip r:embed="rId14"/>
                    <a:stretch>
                      <a:fillRect/>
                    </a:stretch>
                  </pic:blipFill>
                  <pic:spPr>
                    <a:xfrm>
                      <a:off x="0" y="0"/>
                      <a:ext cx="5760000" cy="3432591"/>
                    </a:xfrm>
                    <a:prstGeom prst="rect"/>
                  </pic:spPr>
                </pic:pic>
              </a:graphicData>
            </a:graphic>
          </wp:inline>
        </w:drawing>
      </w:r>
    </w:p>
    <w:p>
      <w:pPr>
        <w:ind w:left="397" w:hanging="397"/>
      </w:pPr>
      <w:r>
        <w:rPr>
          <w:b/>
        </w:rPr>
        <w:t xml:space="preserve">11. </w:t>
      </w:r>
      <w:r>
        <w:t>Controleer per toestel dat de balk op ‘Ready’ staat, en noteer op het formulier:</w:t>
      </w:r>
    </w:p>
    <w:p>
      <w:pPr>
        <w:pStyle w:val="ListBullet"/>
        <w:ind w:left="680"/>
      </w:pPr>
      <w:r>
        <w:t>De naam: plidar-G009L is links, plidar-G026R is rechts</w:t>
      </w:r>
    </w:p>
    <w:p>
      <w:pPr>
        <w:pStyle w:val="ListBullet"/>
        <w:ind w:left="680"/>
      </w:pPr>
      <w:r>
        <w:t>Firmware version en Hardware version</w:t>
      </w:r>
    </w:p>
    <w:p>
      <w:pPr>
        <w:pStyle w:val="ListBullet"/>
        <w:ind w:left="680"/>
      </w:pPr>
      <w:r>
        <w:t>SD (Free/Total) — er moet ruimte vrij zijn</w:t>
      </w:r>
    </w:p>
    <w:p>
      <w:pPr>
        <w:pStyle w:val="ListBullet"/>
        <w:ind w:left="680"/>
      </w:pPr>
      <w:r>
        <w:t>Battery — het percentage van beide toestellen</w:t>
      </w:r>
    </w:p>
    <w:p>
      <w:pPr>
        <w:keepNext/>
        <w:spacing w:before="200" w:after="80"/>
      </w:pPr>
      <w:r>
        <w:rPr>
          <w:b/>
          <w:sz w:val="24"/>
        </w:rPr>
        <w:t>4. Het configuratiebestand koppelen</w:t>
      </w:r>
    </w:p>
    <w:p>
      <w:pPr>
        <w:keepNext/>
        <w:spacing w:before="160"/>
      </w:pPr>
      <w:r>
        <w:rPr>
          <w:b/>
          <w:sz w:val="18"/>
        </w:rPr>
        <w:t>Figure 6: Select config file — links de bestanden op het toestel, rechts die op de computer</w:t>
      </w:r>
    </w:p>
    <w:p>
      <w:pPr>
        <w:spacing w:after="160"/>
        <w:jc w:val="center"/>
      </w:pPr>
      <w:r>
        <w:drawing>
          <wp:inline xmlns:a="http://schemas.openxmlformats.org/drawingml/2006/main" xmlns:pic="http://schemas.openxmlformats.org/drawingml/2006/picture">
            <wp:extent cx="5760000" cy="3443845"/>
            <wp:docPr id="6" name="Picture 6"/>
            <wp:cNvGraphicFramePr>
              <a:graphicFrameLocks noChangeAspect="1"/>
            </wp:cNvGraphicFramePr>
            <a:graphic>
              <a:graphicData uri="http://schemas.openxmlformats.org/drawingml/2006/picture">
                <pic:pic>
                  <pic:nvPicPr>
                    <pic:cNvPr id="0" name="Schermafbeelding 2026-09-10 101240.png"/>
                    <pic:cNvPicPr/>
                  </pic:nvPicPr>
                  <pic:blipFill>
                    <a:blip r:embed="rId15"/>
                    <a:stretch>
                      <a:fillRect/>
                    </a:stretch>
                  </pic:blipFill>
                  <pic:spPr>
                    <a:xfrm>
                      <a:off x="0" y="0"/>
                      <a:ext cx="5760000" cy="3443845"/>
                    </a:xfrm>
                    <a:prstGeom prst="rect"/>
                  </pic:spPr>
                </pic:pic>
              </a:graphicData>
            </a:graphic>
          </wp:inline>
        </w:drawing>
      </w:r>
    </w:p>
    <w:p>
      <w:pPr>
        <w:ind w:left="397" w:hanging="397"/>
      </w:pPr>
      <w:r>
        <w:rPr>
          <w:b/>
        </w:rPr>
        <w:t xml:space="preserve">12. </w:t>
      </w:r>
      <w:r>
        <w:t>Klik bij het linkertoestel op ‘Select config file’.</w:t>
      </w:r>
    </w:p>
    <w:p>
      <w:pPr>
        <w:ind w:left="397" w:hanging="397"/>
      </w:pPr>
      <w:r>
        <w:rPr>
          <w:b/>
        </w:rPr>
        <w:t xml:space="preserve">13. </w:t>
      </w:r>
      <w:r>
        <w:t>Kies het bestand waarvan de code overeenkomt met het label dat je in stap 5 hebt genoteerd. Voor zool XW.831L is dat plidar-G009L_xw831L.</w:t>
      </w:r>
    </w:p>
    <w:p>
      <w:pPr>
        <w:ind w:left="397" w:hanging="397"/>
      </w:pPr>
      <w:r>
        <w:rPr>
          <w:b/>
        </w:rPr>
        <w:t xml:space="preserve">14. </w:t>
      </w:r>
      <w:r>
        <w:t>Controleer dat het vinkje op hetzelfde bestand staat in beide kolommen: ‘Configuration files on your device’ en ‘Configuration files on your computer’.</w:t>
      </w:r>
    </w:p>
    <w:p>
      <w:pPr>
        <w:ind w:left="397" w:hanging="397"/>
      </w:pPr>
      <w:r>
        <w:rPr>
          <w:b/>
        </w:rPr>
        <w:t xml:space="preserve">15. </w:t>
      </w:r>
      <w:r>
        <w:t>Herhaal voor het rechtertoestel, met het bestand dat op R eindigt.</w:t>
      </w:r>
    </w:p>
    <w:p>
      <w:pPr>
        <w:ind w:left="397" w:hanging="397"/>
      </w:pPr>
      <w:r>
        <w:rPr>
          <w:b/>
        </w:rPr>
        <w:t xml:space="preserve">16. </w:t>
      </w:r>
      <w:r>
        <w:t>Ga terug naar ‘Manage Devices’ en controleer bij ‘Configuration’ dat het gekozen bestand er in het geel staat. Vergelijk die tekst letter voor letter met het label op de zool.</w:t>
      </w:r>
    </w:p>
    <w:p>
      <w:pPr>
        <w:ind w:left="340"/>
      </w:pPr>
      <w:r>
        <w:rPr>
          <w:b w:val="0"/>
          <w:i/>
          <w:sz w:val="20"/>
        </w:rPr>
        <w:t>Elke zender heeft vijf configuratiebestanden in het geheugen, één per maat. De zender weet niet welke zool je hebt aangesloten — die koppeling maak jij, en alleen hier.</w:t>
      </w:r>
    </w:p>
    <w:p>
      <w:pPr>
        <w:keepNext/>
        <w:spacing w:before="200" w:after="80"/>
      </w:pPr>
      <w:r>
        <w:rPr>
          <w:b/>
          <w:sz w:val="24"/>
        </w:rPr>
        <w:t>5. Nulstellen en meetfrequentie</w:t>
      </w:r>
    </w:p>
    <w:p>
      <w:pPr>
        <w:keepNext/>
        <w:spacing w:before="160"/>
      </w:pPr>
      <w:r>
        <w:rPr>
          <w:b/>
          <w:sz w:val="18"/>
        </w:rPr>
        <w:t>Figure 7: Measure — nulstellen en meetfrequentie</w:t>
      </w:r>
    </w:p>
    <w:p>
      <w:pPr>
        <w:spacing w:after="160"/>
        <w:jc w:val="center"/>
      </w:pPr>
      <w:r>
        <w:drawing>
          <wp:inline xmlns:a="http://schemas.openxmlformats.org/drawingml/2006/main" xmlns:pic="http://schemas.openxmlformats.org/drawingml/2006/picture">
            <wp:extent cx="5760000" cy="3443845"/>
            <wp:docPr id="7" name="Picture 7"/>
            <wp:cNvGraphicFramePr>
              <a:graphicFrameLocks noChangeAspect="1"/>
            </wp:cNvGraphicFramePr>
            <a:graphic>
              <a:graphicData uri="http://schemas.openxmlformats.org/drawingml/2006/picture">
                <pic:pic>
                  <pic:nvPicPr>
                    <pic:cNvPr id="0" name="Schermafbeelding 2026-09-10 101325.png"/>
                    <pic:cNvPicPr/>
                  </pic:nvPicPr>
                  <pic:blipFill>
                    <a:blip r:embed="rId16"/>
                    <a:stretch>
                      <a:fillRect/>
                    </a:stretch>
                  </pic:blipFill>
                  <pic:spPr>
                    <a:xfrm>
                      <a:off x="0" y="0"/>
                      <a:ext cx="5760000" cy="3443845"/>
                    </a:xfrm>
                    <a:prstGeom prst="rect"/>
                  </pic:spPr>
                </pic:pic>
              </a:graphicData>
            </a:graphic>
          </wp:inline>
        </w:drawing>
      </w:r>
    </w:p>
    <w:p>
      <w:pPr>
        <w:ind w:left="397" w:hanging="397"/>
      </w:pPr>
      <w:r>
        <w:rPr>
          <w:b/>
        </w:rPr>
        <w:t xml:space="preserve">17. </w:t>
      </w:r>
      <w:r>
        <w:t>Ga naar ‘Measure’. Beide toestellen tonen ‘Ready’ en ‘Not zeroed’.</w:t>
      </w:r>
    </w:p>
    <w:p>
      <w:pPr>
        <w:ind w:left="397" w:hanging="397"/>
      </w:pPr>
      <w:r>
        <w:rPr>
          <w:b/>
        </w:rPr>
        <w:t xml:space="preserve">18. </w:t>
      </w:r>
      <w:r>
        <w:t>Leg de twee zolen onbelast en vlak op de tafel — niet in de schoen, niets erop, en raak ze niet aan. Klik dan per toestel op ‘Zero device’. De melding ‘Not zeroed’ verdwijnt.</w:t>
      </w:r>
    </w:p>
    <w:p>
      <w:pPr>
        <w:ind w:left="397" w:hanging="397"/>
      </w:pPr>
      <w:r>
        <w:rPr>
          <w:b/>
        </w:rPr>
        <w:t xml:space="preserve">19. </w:t>
      </w:r>
      <w:r>
        <w:t>Zet ‘Sample rate’ op 100 Hz. De frequentierespons van de zool is opgegeven tot 100 Hz; gebruik voor elke deelnemer en elke visite dezelfde waarde.</w:t>
      </w:r>
    </w:p>
    <w:p>
      <w:pPr>
        <w:ind w:left="397" w:hanging="397"/>
      </w:pPr>
      <w:r>
        <w:rPr>
          <w:b/>
        </w:rPr>
        <w:t xml:space="preserve">20. </w:t>
      </w:r>
      <w:r>
        <w:t>Vul bij ‘Measurement identification’ in: deelnemerscode, visite en conditie — ‘zonder zool’ of ‘met zool’.</w:t>
      </w:r>
    </w:p>
    <w:p>
      <w:pPr>
        <w:ind w:left="340"/>
      </w:pPr>
      <w:r>
        <w:rPr>
          <w:b w:val="0"/>
          <w:i/>
          <w:sz w:val="20"/>
        </w:rPr>
        <w:t>Controleer bij ‘Select Active Cells’ dat er 99 staan. Dat is het aantal sensoren van een volwassen pedar-zool; staat er minder, dan zijn er cellen uitgeschakeld.</w:t>
      </w:r>
    </w:p>
    <w:p>
      <w:pPr>
        <w:keepNext/>
        <w:spacing w:before="200" w:after="80"/>
      </w:pPr>
      <w:r>
        <w:rPr>
          <w:b/>
          <w:sz w:val="24"/>
        </w:rPr>
        <w:t>6. De meting</w:t>
      </w:r>
    </w:p>
    <w:p>
      <w:r>
        <w:rPr>
          <w:b/>
          <w:i w:val="0"/>
          <w:sz w:val="20"/>
        </w:rPr>
        <w:t>Per meetmoment worden twee condities gemeten, in deze volgorde:</w:t>
      </w:r>
    </w:p>
    <w:p>
      <w:pPr>
        <w:pStyle w:val="ListBullet"/>
        <w:ind w:left="397"/>
      </w:pPr>
      <w:r>
        <w:t>A — in het schoeisel ZONDER de CMFO</w:t>
      </w:r>
    </w:p>
    <w:p>
      <w:pPr>
        <w:pStyle w:val="ListBullet"/>
        <w:ind w:left="397"/>
      </w:pPr>
      <w:r>
        <w:t>B — in het schoeisel MET de CMFO</w:t>
      </w:r>
    </w:p>
    <w:p>
      <w:r>
        <w:rPr>
          <w:b w:val="0"/>
          <w:i/>
          <w:sz w:val="20"/>
        </w:rPr>
        <w:t>De 25%-reductie wordt tussen A en B gerekend, in dezelfde sessie. Op visite 1 wordt alleen conditie A gemeten; die dient voor de aanmaak van de zool.</w:t>
      </w:r>
    </w:p>
    <w:p>
      <w:r>
        <w:rPr>
          <w:b w:val="0"/>
          <w:i w:val="0"/>
          <w:sz w:val="20"/>
        </w:rPr>
      </w:r>
    </w:p>
    <w:p>
      <w:pPr>
        <w:ind w:left="397" w:hanging="397"/>
      </w:pPr>
      <w:r>
        <w:rPr>
          <w:b/>
        </w:rPr>
        <w:t xml:space="preserve">21. </w:t>
      </w:r>
      <w:r>
        <w:t>Laat de deelnemer dunne, naadloze katoenen sokken aandoen — voor elke deelnemer hetzelfde type — en het schoeisel met de pedar-zool erin aantrekken.</w:t>
      </w:r>
    </w:p>
    <w:p>
      <w:pPr>
        <w:ind w:left="397" w:hanging="397"/>
      </w:pPr>
      <w:r>
        <w:rPr>
          <w:b/>
        </w:rPr>
        <w:t xml:space="preserve">22. </w:t>
      </w:r>
      <w:r>
        <w:t>Laat een paar meter wennen, buiten de meting.</w:t>
      </w:r>
    </w:p>
    <w:p>
      <w:pPr>
        <w:ind w:left="397" w:hanging="397"/>
      </w:pPr>
      <w:r>
        <w:rPr>
          <w:b/>
        </w:rPr>
        <w:t xml:space="preserve">23. </w:t>
      </w:r>
      <w:r>
        <w:t>Klik op ‘Start measurement’ en laat de deelnemer de looproute afleggen op zelfgekozen comfortsnelheid.</w:t>
      </w:r>
    </w:p>
    <w:p>
      <w:pPr>
        <w:ind w:left="397" w:hanging="397"/>
      </w:pPr>
      <w:r>
        <w:rPr>
          <w:b/>
        </w:rPr>
        <w:t xml:space="preserve">24. </w:t>
      </w:r>
      <w:r>
        <w:t>Verzamel minstens 12 mid-gait stappen per voet. De eerste en de laatste stappen tellen niet mee: die zijn versnellend of afremmend.</w:t>
      </w:r>
    </w:p>
    <w:p>
      <w:pPr>
        <w:ind w:left="397" w:hanging="397"/>
      </w:pPr>
      <w:r>
        <w:rPr>
          <w:b/>
        </w:rPr>
        <w:t xml:space="preserve">25. </w:t>
      </w:r>
      <w:r>
        <w:t>Klik op ‘Stop’.</w:t>
      </w:r>
    </w:p>
    <w:p>
      <w:pPr>
        <w:ind w:left="397" w:hanging="397"/>
      </w:pPr>
      <w:r>
        <w:rPr>
          <w:b/>
        </w:rPr>
        <w:t xml:space="preserve">26. </w:t>
      </w:r>
      <w:r>
        <w:t>Herhaal voor de tweede conditie. Houd de snelheid gelijk; bij opvolging mag ze maximaal 5% afwijken van de baseline.</w:t>
      </w:r>
    </w:p>
    <w:p>
      <w:r>
        <w:rPr>
          <w:b w:val="0"/>
          <w:i/>
          <w:sz w:val="20"/>
        </w:rPr>
        <w:t>Op visite 1 worden drie metingen per voet gedaan, links en rechts apart, waaruit één gemiddeld piekdrukbeeld volgt.</w:t>
      </w:r>
    </w:p>
    <w:p>
      <w:pPr>
        <w:keepNext/>
        <w:spacing w:before="200" w:after="80"/>
      </w:pPr>
      <w:r>
        <w:rPr>
          <w:b/>
          <w:sz w:val="24"/>
        </w:rPr>
        <w:t>7. De meting bekijken en de piekdruk aflezen</w:t>
      </w:r>
    </w:p>
    <w:p>
      <w:pPr>
        <w:ind w:left="397" w:hanging="397"/>
      </w:pPr>
      <w:r>
        <w:rPr>
          <w:b/>
        </w:rPr>
        <w:t xml:space="preserve">27. </w:t>
      </w:r>
      <w:r>
        <w:t>Ga naar ‘Archive &amp; Analyse’ en open het bestand van deze meting. Het staat onder C:\Users\Public\Documents\Novel Studio\plidar_data\&lt;datum&gt;, met een naam als pedar_2026-09-10_09-23-18-577.plidar.</w:t>
      </w:r>
    </w:p>
    <w:p>
      <w:pPr>
        <w:keepNext/>
        <w:spacing w:before="160"/>
      </w:pPr>
      <w:r>
        <w:rPr>
          <w:b/>
          <w:sz w:val="18"/>
        </w:rPr>
        <w:t>Figure 8: Chart controls — het meetvenster afbakenen</w:t>
      </w:r>
    </w:p>
    <w:p>
      <w:pPr>
        <w:spacing w:after="160"/>
        <w:jc w:val="center"/>
      </w:pPr>
      <w:r>
        <w:drawing>
          <wp:inline xmlns:a="http://schemas.openxmlformats.org/drawingml/2006/main" xmlns:pic="http://schemas.openxmlformats.org/drawingml/2006/picture">
            <wp:extent cx="5760000" cy="3339490"/>
            <wp:docPr id="8" name="Picture 8"/>
            <wp:cNvGraphicFramePr>
              <a:graphicFrameLocks noChangeAspect="1"/>
            </wp:cNvGraphicFramePr>
            <a:graphic>
              <a:graphicData uri="http://schemas.openxmlformats.org/drawingml/2006/picture">
                <pic:pic>
                  <pic:nvPicPr>
                    <pic:cNvPr id="0" name="Schermafbeelding 2026-09-10 100125.png"/>
                    <pic:cNvPicPr/>
                  </pic:nvPicPr>
                  <pic:blipFill>
                    <a:blip r:embed="rId17"/>
                    <a:stretch>
                      <a:fillRect/>
                    </a:stretch>
                  </pic:blipFill>
                  <pic:spPr>
                    <a:xfrm>
                      <a:off x="0" y="0"/>
                      <a:ext cx="5760000" cy="3339490"/>
                    </a:xfrm>
                    <a:prstGeom prst="rect"/>
                  </pic:spPr>
                </pic:pic>
              </a:graphicData>
            </a:graphic>
          </wp:inline>
        </w:drawing>
      </w:r>
    </w:p>
    <w:p>
      <w:pPr>
        <w:ind w:left="397" w:hanging="397"/>
      </w:pPr>
      <w:r>
        <w:rPr>
          <w:b/>
        </w:rPr>
        <w:t xml:space="preserve">28. </w:t>
      </w:r>
      <w:r>
        <w:t>Open ‘Chart controls’ en gebruik ‘Set Range’ of de tijdbalk om alleen het mid-gait deel te selecteren. ‘Fit All Data’ zet de weergave terug op de volledige meting.</w:t>
      </w:r>
    </w:p>
    <w:p>
      <w:pPr>
        <w:keepNext/>
        <w:spacing w:before="160"/>
      </w:pPr>
      <w:r>
        <w:rPr>
          <w:b/>
          <w:sz w:val="18"/>
        </w:rPr>
        <w:t>Figure 9: MVP — de gemiddelde drukverdeling over de selectie</w:t>
      </w:r>
    </w:p>
    <w:p>
      <w:pPr>
        <w:spacing w:after="160"/>
        <w:jc w:val="center"/>
      </w:pPr>
      <w:r>
        <w:drawing>
          <wp:inline xmlns:a="http://schemas.openxmlformats.org/drawingml/2006/main" xmlns:pic="http://schemas.openxmlformats.org/drawingml/2006/picture">
            <wp:extent cx="5760000" cy="3343059"/>
            <wp:docPr id="9" name="Picture 9"/>
            <wp:cNvGraphicFramePr>
              <a:graphicFrameLocks noChangeAspect="1"/>
            </wp:cNvGraphicFramePr>
            <a:graphic>
              <a:graphicData uri="http://schemas.openxmlformats.org/drawingml/2006/picture">
                <pic:pic>
                  <pic:nvPicPr>
                    <pic:cNvPr id="0" name="Schermafbeelding 2026-09-10 095945.png"/>
                    <pic:cNvPicPr/>
                  </pic:nvPicPr>
                  <pic:blipFill>
                    <a:blip r:embed="rId18"/>
                    <a:stretch>
                      <a:fillRect/>
                    </a:stretch>
                  </pic:blipFill>
                  <pic:spPr>
                    <a:xfrm>
                      <a:off x="0" y="0"/>
                      <a:ext cx="5760000" cy="3343059"/>
                    </a:xfrm>
                    <a:prstGeom prst="rect"/>
                  </pic:spPr>
                </pic:pic>
              </a:graphicData>
            </a:graphic>
          </wp:inline>
        </w:drawing>
      </w:r>
    </w:p>
    <w:p>
      <w:pPr>
        <w:keepNext/>
        <w:spacing w:before="160"/>
      </w:pPr>
      <w:r>
        <w:rPr>
          <w:b/>
          <w:sz w:val="18"/>
        </w:rPr>
        <w:t>Figure 10: MPP — de hoogste druk per sensor; dit is de weergave voor de norm</w:t>
      </w:r>
    </w:p>
    <w:p>
      <w:pPr>
        <w:spacing w:after="160"/>
        <w:jc w:val="center"/>
      </w:pPr>
      <w:r>
        <w:drawing>
          <wp:inline xmlns:a="http://schemas.openxmlformats.org/drawingml/2006/main" xmlns:pic="http://schemas.openxmlformats.org/drawingml/2006/picture">
            <wp:extent cx="5760000" cy="3351314"/>
            <wp:docPr id="10" name="Picture 10"/>
            <wp:cNvGraphicFramePr>
              <a:graphicFrameLocks noChangeAspect="1"/>
            </wp:cNvGraphicFramePr>
            <a:graphic>
              <a:graphicData uri="http://schemas.openxmlformats.org/drawingml/2006/picture">
                <pic:pic>
                  <pic:nvPicPr>
                    <pic:cNvPr id="0" name="Schermafbeelding 2026-09-10 100159.png"/>
                    <pic:cNvPicPr/>
                  </pic:nvPicPr>
                  <pic:blipFill>
                    <a:blip r:embed="rId19"/>
                    <a:stretch>
                      <a:fillRect/>
                    </a:stretch>
                  </pic:blipFill>
                  <pic:spPr>
                    <a:xfrm>
                      <a:off x="0" y="0"/>
                      <a:ext cx="5760000" cy="3351314"/>
                    </a:xfrm>
                    <a:prstGeom prst="rect"/>
                  </pic:spPr>
                </pic:pic>
              </a:graphicData>
            </a:graphic>
          </wp:inline>
        </w:drawing>
      </w:r>
    </w:p>
    <w:p>
      <w:pPr>
        <w:ind w:left="397" w:hanging="397"/>
      </w:pPr>
      <w:r>
        <w:rPr>
          <w:b/>
        </w:rPr>
        <w:t xml:space="preserve">29. </w:t>
      </w:r>
      <w:r>
        <w:t>Klik links op ‘MPP’. Deze weergave toont per sensor de hoogste druk tijdens de meting. Daarop wordt de norm getoetst — niet op de MVP-weergave, die gemiddelden toont en dus lagere waarden geeft.</w:t>
      </w:r>
    </w:p>
    <w:p>
      <w:pPr>
        <w:ind w:left="397" w:hanging="397"/>
      </w:pPr>
      <w:r>
        <w:rPr>
          <w:b/>
        </w:rPr>
        <w:t xml:space="preserve">30. </w:t>
      </w:r>
      <w:r>
        <w:t>Lees onderaan per voet af: Maximum force, Peak pressure, Average pressure en Loaded area. Noteer ze op het formulier.</w:t>
      </w:r>
    </w:p>
    <w:p>
      <w:pPr>
        <w:ind w:left="397" w:hanging="397"/>
      </w:pPr>
      <w:r>
        <w:rPr>
          <w:b/>
        </w:rPr>
        <w:t xml:space="preserve">31. </w:t>
      </w:r>
      <w:r>
        <w:t>Noteer de piekdruk per anatomische regio, volgens de regio-indeling van het protocol: hiel, mediale middenvoet, laterale middenvoet, metatarsaal 1, metatarsaal 2-3, metatarsaal 4-5, hallux, tenen 2-5.</w:t>
      </w:r>
    </w:p>
    <w:p>
      <w:r>
        <w:rPr>
          <w:b/>
          <w:i w:val="0"/>
          <w:sz w:val="20"/>
        </w:rPr>
        <w:t>De norm: piekdruk onder 200 kPa mét de zool, óf minstens 25% lager dan dezelfde regio zonder de zool in dezelfde sessie. Gehaald op alle drie de doelregio’s? Dan is de zool in orde. Zo niet: laat de pedorthist aanpassen en meet opnieuw.</w:t>
      </w:r>
    </w:p>
    <w:p>
      <w:pPr>
        <w:keepNext/>
        <w:spacing w:before="200" w:after="80"/>
      </w:pPr>
      <w:r>
        <w:rPr>
          <w:b/>
          <w:sz w:val="24"/>
        </w:rPr>
        <w:t>8. De kleurenschaal — niet wijzigen</w:t>
      </w:r>
    </w:p>
    <w:p>
      <w:pPr>
        <w:keepNext/>
        <w:spacing w:before="160"/>
      </w:pPr>
      <w:r>
        <w:rPr>
          <w:b/>
          <w:sz w:val="18"/>
        </w:rPr>
        <w:t>Figure 11: Configure palette — de instellingen die voor de hele studie gelden</w:t>
      </w:r>
    </w:p>
    <w:p>
      <w:pPr>
        <w:spacing w:after="160"/>
        <w:jc w:val="center"/>
      </w:pPr>
      <w:r>
        <w:drawing>
          <wp:inline xmlns:a="http://schemas.openxmlformats.org/drawingml/2006/main" xmlns:pic="http://schemas.openxmlformats.org/drawingml/2006/picture">
            <wp:extent cx="5760000" cy="3204795"/>
            <wp:docPr id="11" name="Picture 11"/>
            <wp:cNvGraphicFramePr>
              <a:graphicFrameLocks noChangeAspect="1"/>
            </wp:cNvGraphicFramePr>
            <a:graphic>
              <a:graphicData uri="http://schemas.openxmlformats.org/drawingml/2006/picture">
                <pic:pic>
                  <pic:nvPicPr>
                    <pic:cNvPr id="0" name="Schermafbeelding 2026-09-10 100038.png"/>
                    <pic:cNvPicPr/>
                  </pic:nvPicPr>
                  <pic:blipFill>
                    <a:blip r:embed="rId20"/>
                    <a:stretch>
                      <a:fillRect/>
                    </a:stretch>
                  </pic:blipFill>
                  <pic:spPr>
                    <a:xfrm>
                      <a:off x="0" y="0"/>
                      <a:ext cx="5760000" cy="3204795"/>
                    </a:xfrm>
                    <a:prstGeom prst="rect"/>
                  </pic:spPr>
                </pic:pic>
              </a:graphicData>
            </a:graphic>
          </wp:inline>
        </w:drawing>
      </w:r>
    </w:p>
    <w:p>
      <w:pPr>
        <w:ind w:left="397" w:hanging="397"/>
      </w:pPr>
      <w:r>
        <w:rPr>
          <w:b/>
        </w:rPr>
        <w:t xml:space="preserve">32. </w:t>
      </w:r>
      <w:r>
        <w:t>Controleer onder ‘Configure palette’:</w:t>
      </w:r>
    </w:p>
    <w:p>
      <w:pPr>
        <w:pStyle w:val="ListBullet"/>
        <w:ind w:left="680"/>
      </w:pPr>
      <w:r>
        <w:t>Pressure Cut Off: 20 kPa</w:t>
      </w:r>
    </w:p>
    <w:p>
      <w:pPr>
        <w:pStyle w:val="ListBullet"/>
        <w:ind w:left="680"/>
      </w:pPr>
      <w:r>
        <w:t>Sensor resolution: 2,5 kPa — dat is de opgegeven resolutie van de zool</w:t>
      </w:r>
    </w:p>
    <w:p>
      <w:pPr>
        <w:pStyle w:val="ListBullet"/>
        <w:ind w:left="680"/>
      </w:pPr>
      <w:r>
        <w:t>Kleurgrenzen: 20 · 40 · 60 · 100 · 150 · 200 · 220 kPa</w:t>
      </w:r>
    </w:p>
    <w:p>
      <w:r>
        <w:rPr>
          <w:b w:val="0"/>
          <w:i/>
          <w:sz w:val="20"/>
        </w:rPr>
        <w:t>De grens op 200 kPa valt samen met de norm: alles wat rood of magenta kleurt ligt erboven. Wijzig deze instellingen niet tussen deelnemers of tussen visites, anders zijn de beelden onderling niet meer vergelijkbaar.</w:t>
      </w:r>
    </w:p>
    <w:p>
      <w:pPr>
        <w:keepNext/>
        <w:spacing w:before="200" w:after="80"/>
      </w:pPr>
      <w:r>
        <w:rPr>
          <w:b/>
          <w:sz w:val="24"/>
        </w:rPr>
        <w:t>9. Opslaan en afronden</w:t>
      </w:r>
    </w:p>
    <w:p>
      <w:pPr>
        <w:ind w:left="397" w:hanging="397"/>
      </w:pPr>
      <w:r>
        <w:rPr>
          <w:b/>
        </w:rPr>
        <w:t xml:space="preserve">33. </w:t>
      </w:r>
      <w:r>
        <w:t>Gebruik ‘Export as’ om de meting te exporteren.</w:t>
      </w:r>
    </w:p>
    <w:p>
      <w:pPr>
        <w:ind w:left="397" w:hanging="397"/>
      </w:pPr>
      <w:r>
        <w:rPr>
          <w:b/>
        </w:rPr>
        <w:t xml:space="preserve">34. </w:t>
      </w:r>
      <w:r>
        <w:t>Noteer de bestandsnaam en de datum op eCRF 09 of 24, samen met de zoolcodes die je gebruikt hebt.</w:t>
      </w:r>
    </w:p>
    <w:p>
      <w:pPr>
        <w:ind w:left="397" w:hanging="397"/>
      </w:pPr>
      <w:r>
        <w:rPr>
          <w:b/>
        </w:rPr>
        <w:t xml:space="preserve">35. </w:t>
      </w:r>
      <w:r>
        <w:t>Neem de zolen uit de schoenen, veeg ze schoon en berg ze vlak op.</w:t>
      </w:r>
    </w:p>
    <w:p>
      <w:pPr>
        <w:ind w:left="397" w:hanging="397"/>
      </w:pPr>
      <w:r>
        <w:rPr>
          <w:b/>
        </w:rPr>
        <w:t xml:space="preserve">36. </w:t>
      </w:r>
      <w:r>
        <w:t>Zet de toestellen aan de lader als de batterij laag staat.</w:t>
      </w:r>
    </w:p>
    <w:p>
      <w:pPr>
        <w:keepNext/>
        <w:spacing w:before="200" w:after="80"/>
      </w:pPr>
      <w:r>
        <w:rPr>
          <w:b/>
          <w:sz w:val="24"/>
        </w:rPr>
        <w:t>10. Onderhoud en technische gegevens</w:t>
      </w:r>
    </w:p>
    <w:p>
      <w:pPr>
        <w:pStyle w:val="ListBullet"/>
        <w:ind w:left="397"/>
      </w:pPr>
      <w:r>
        <w:t>Kalibratie met het trublu-toestel: minstens elke drie maanden, belasten tot 6 bar. Wijkt de softwarewaarde meer dan 5% af van de manometer, dan opnieuw kalibreren.</w:t>
      </w:r>
    </w:p>
    <w:p>
      <w:pPr>
        <w:pStyle w:val="ListBullet"/>
        <w:ind w:left="397"/>
      </w:pPr>
      <w:r>
        <w:t>Nooit vouwen. De kleinste toegelaten buigstraal is 20 mm, en buigen kan de gemeten druk tot 20 kPa verschuiven — even groot als de onderste kleurgrens.</w:t>
      </w:r>
    </w:p>
    <w:p>
      <w:pPr>
        <w:pStyle w:val="ListBullet"/>
        <w:ind w:left="397"/>
      </w:pPr>
      <w:r>
        <w:t>Controleer de zolen en de kabels voor elk gebruik op knikken, scheuren en losse aansluitingen.</w:t>
      </w:r>
    </w:p>
    <w:p>
      <w:r>
        <w:rPr>
          <w:b w:val="0"/>
          <w:i w:val="0"/>
          <w:sz w:val="20"/>
        </w:rPr>
      </w:r>
    </w:p>
    <w:p>
      <w:r>
        <w:rPr>
          <w:b/>
          <w:i w:val="0"/>
          <w:sz w:val="20"/>
        </w:rPr>
        <w:t>Technische gegevens van de zool, uit de pedar® Insole Catalogue:</w:t>
      </w:r>
    </w:p>
    <w:tbl>
      <w:tblPr>
        <w:tblStyle w:val="TableGrid"/>
        <w:tblW w:type="auto" w:w="0"/>
        <w:jc w:val="left"/>
        <w:tblLook w:firstColumn="1" w:firstRow="1" w:lastColumn="0" w:lastRow="0" w:noHBand="0" w:noVBand="1" w:val="04A0"/>
      </w:tblPr>
      <w:tblGrid>
        <w:gridCol w:w="4536"/>
        <w:gridCol w:w="4536"/>
      </w:tblGrid>
      <w:tr>
        <w:tc>
          <w:tcPr>
            <w:tcW w:type="dxa" w:w="4535"/>
          </w:tcPr>
          <w:p>
            <w:r/>
            <w:r>
              <w:rPr>
                <w:b/>
                <w:sz w:val="18"/>
              </w:rPr>
              <w:t>Kenmerk</w:t>
            </w:r>
          </w:p>
        </w:tc>
        <w:tc>
          <w:tcPr>
            <w:tcW w:type="dxa" w:w="2835"/>
          </w:tcPr>
          <w:p>
            <w:r/>
            <w:r>
              <w:rPr>
                <w:b/>
                <w:sz w:val="18"/>
              </w:rPr>
              <w:t>Waarde</w:t>
            </w:r>
          </w:p>
        </w:tc>
      </w:tr>
      <w:tr>
        <w:tc>
          <w:tcPr>
            <w:tcW w:type="dxa" w:w="4535"/>
          </w:tcPr>
          <w:p>
            <w:r/>
            <w:r>
              <w:rPr>
                <w:sz w:val="18"/>
              </w:rPr>
              <w:t>Aantal sensoren (volwassen zool)</w:t>
            </w:r>
          </w:p>
        </w:tc>
        <w:tc>
          <w:tcPr>
            <w:tcW w:type="dxa" w:w="2835"/>
          </w:tcPr>
          <w:p>
            <w:r/>
            <w:r>
              <w:rPr>
                <w:sz w:val="18"/>
              </w:rPr>
              <w:t>99</w:t>
            </w:r>
          </w:p>
        </w:tc>
      </w:tr>
      <w:tr>
        <w:tc>
          <w:tcPr>
            <w:tcW w:type="dxa" w:w="4535"/>
          </w:tcPr>
          <w:p>
            <w:r/>
            <w:r>
              <w:rPr>
                <w:sz w:val="18"/>
              </w:rPr>
              <w:t>Dikte van de sensor</w:t>
            </w:r>
          </w:p>
        </w:tc>
        <w:tc>
          <w:tcPr>
            <w:tcW w:type="dxa" w:w="2835"/>
          </w:tcPr>
          <w:p>
            <w:r/>
            <w:r>
              <w:rPr>
                <w:sz w:val="18"/>
              </w:rPr>
              <w:t>1,9 mm</w:t>
            </w:r>
          </w:p>
        </w:tc>
      </w:tr>
      <w:tr>
        <w:tc>
          <w:tcPr>
            <w:tcW w:type="dxa" w:w="4535"/>
          </w:tcPr>
          <w:p>
            <w:r/>
            <w:r>
              <w:rPr>
                <w:sz w:val="18"/>
              </w:rPr>
              <w:t>Drukbereik</w:t>
            </w:r>
          </w:p>
        </w:tc>
        <w:tc>
          <w:tcPr>
            <w:tcW w:type="dxa" w:w="2835"/>
          </w:tcPr>
          <w:p>
            <w:r/>
            <w:r>
              <w:rPr>
                <w:sz w:val="18"/>
              </w:rPr>
              <w:t>15 – 600 kPa</w:t>
            </w:r>
          </w:p>
        </w:tc>
      </w:tr>
      <w:tr>
        <w:tc>
          <w:tcPr>
            <w:tcW w:type="dxa" w:w="4535"/>
          </w:tcPr>
          <w:p>
            <w:r/>
            <w:r>
              <w:rPr>
                <w:sz w:val="18"/>
              </w:rPr>
              <w:t>Resolutie</w:t>
            </w:r>
          </w:p>
        </w:tc>
        <w:tc>
          <w:tcPr>
            <w:tcW w:type="dxa" w:w="2835"/>
          </w:tcPr>
          <w:p>
            <w:r/>
            <w:r>
              <w:rPr>
                <w:sz w:val="18"/>
              </w:rPr>
              <w:t>2,5 kPa</w:t>
            </w:r>
          </w:p>
        </w:tc>
      </w:tr>
      <w:tr>
        <w:tc>
          <w:tcPr>
            <w:tcW w:type="dxa" w:w="4535"/>
          </w:tcPr>
          <w:p>
            <w:r/>
            <w:r>
              <w:rPr>
                <w:sz w:val="18"/>
              </w:rPr>
              <w:t>Hysterese</w:t>
            </w:r>
          </w:p>
        </w:tc>
        <w:tc>
          <w:tcPr>
            <w:tcW w:type="dxa" w:w="2835"/>
          </w:tcPr>
          <w:p>
            <w:r/>
            <w:r>
              <w:rPr>
                <w:sz w:val="18"/>
              </w:rPr>
              <w:t>&lt; 7%</w:t>
            </w:r>
          </w:p>
        </w:tc>
      </w:tr>
      <w:tr>
        <w:tc>
          <w:tcPr>
            <w:tcW w:type="dxa" w:w="4535"/>
          </w:tcPr>
          <w:p>
            <w:r/>
            <w:r>
              <w:rPr>
                <w:sz w:val="18"/>
              </w:rPr>
              <w:t>Temperatuurdrift van de nullijn</w:t>
            </w:r>
          </w:p>
        </w:tc>
        <w:tc>
          <w:tcPr>
            <w:tcW w:type="dxa" w:w="2835"/>
          </w:tcPr>
          <w:p>
            <w:r/>
            <w:r>
              <w:rPr>
                <w:sz w:val="18"/>
              </w:rPr>
              <w:t>&lt; 0,5 kPa/K</w:t>
            </w:r>
          </w:p>
        </w:tc>
      </w:tr>
      <w:tr>
        <w:tc>
          <w:tcPr>
            <w:tcW w:type="dxa" w:w="4535"/>
          </w:tcPr>
          <w:p>
            <w:r/>
            <w:r>
              <w:rPr>
                <w:sz w:val="18"/>
              </w:rPr>
              <w:t>Frequentierespons</w:t>
            </w:r>
          </w:p>
        </w:tc>
        <w:tc>
          <w:tcPr>
            <w:tcW w:type="dxa" w:w="2835"/>
          </w:tcPr>
          <w:p>
            <w:r/>
            <w:r>
              <w:rPr>
                <w:sz w:val="18"/>
              </w:rPr>
              <w:t>0 – 100 Hz, &lt; 2 dB</w:t>
            </w:r>
          </w:p>
        </w:tc>
      </w:tr>
      <w:tr>
        <w:tc>
          <w:tcPr>
            <w:tcW w:type="dxa" w:w="4535"/>
          </w:tcPr>
          <w:p>
            <w:r/>
            <w:r>
              <w:rPr>
                <w:sz w:val="18"/>
              </w:rPr>
              <w:t>Minimale buigstraal</w:t>
            </w:r>
          </w:p>
        </w:tc>
        <w:tc>
          <w:tcPr>
            <w:tcW w:type="dxa" w:w="2835"/>
          </w:tcPr>
          <w:p>
            <w:r/>
            <w:r>
              <w:rPr>
                <w:sz w:val="18"/>
              </w:rPr>
              <w:t>20 mm</w:t>
            </w:r>
          </w:p>
        </w:tc>
      </w:tr>
      <w:tr>
        <w:tc>
          <w:tcPr>
            <w:tcW w:type="dxa" w:w="4535"/>
          </w:tcPr>
          <w:p>
            <w:r/>
            <w:r>
              <w:rPr>
                <w:sz w:val="18"/>
              </w:rPr>
              <w:t>Drukverandering door buigen</w:t>
            </w:r>
          </w:p>
        </w:tc>
        <w:tc>
          <w:tcPr>
            <w:tcW w:type="dxa" w:w="2835"/>
          </w:tcPr>
          <w:p>
            <w:r/>
            <w:r>
              <w:rPr>
                <w:sz w:val="18"/>
              </w:rPr>
              <w:t>&lt; 20 kPa</w:t>
            </w:r>
          </w:p>
        </w:tc>
      </w:tr>
    </w:tbl>
    <w:p/>
    <w:p>
      <w:r>
        <w:rPr>
          <w:b w:val="0"/>
          <w:i/>
          <w:sz w:val="16"/>
        </w:rPr>
        <w:t>Bron: pedar® Insole Catalogue, novel gmbh, 2020.</w:t>
      </w:r>
    </w:p>
    <w:p>
      <w:r>
        <w:br w:type="page"/>
      </w:r>
    </w:p>
    <w:p>
      <w:pPr>
        <w:keepNext/>
        <w:spacing w:before="0" w:after="80"/>
      </w:pPr>
      <w:r>
        <w:rPr>
          <w:b/>
          <w:sz w:val="24"/>
        </w:rPr>
        <w:t>Nog vast te leggen vóór de opleiding</w:t>
      </w:r>
    </w:p>
    <w:p>
      <w:r>
        <w:rPr>
          <w:b w:val="0"/>
          <w:i/>
          <w:sz w:val="20"/>
        </w:rPr>
        <w:t>De punten hieronder zijn niet gedekt door de schermafbeeldingen, de configuratiebestanden, de cataloog of het protocol. Tot ze beslist zijn, is dit een concept.</w:t>
      </w:r>
    </w:p>
    <w:p>
      <w:pPr>
        <w:ind w:left="397" w:hanging="397"/>
      </w:pPr>
      <w:r>
        <w:rPr>
          <w:b/>
        </w:rPr>
        <w:t xml:space="preserve">1. </w:t>
      </w:r>
      <w:r>
        <w:t>De acht regio’s. Het protocol vraagt piekdruk per anatomische regio. In novel studio is alleen ‘Activate/deactivate sensor cells’ zichtbaar, geen maskerfunctie die de zool in regio’s verdeelt. Vast te leggen: waar en hoe de acht regio’s bepaald worden, en wie dat doet.</w:t>
      </w:r>
    </w:p>
    <w:p>
      <w:pPr>
        <w:ind w:left="397" w:hanging="397"/>
      </w:pPr>
      <w:r>
        <w:rPr>
          <w:b/>
        </w:rPr>
        <w:t xml:space="preserve">2. </w:t>
      </w:r>
      <w:r>
        <w:t>Geen ZW-zolen (46/47) in huis. De voorraad dekt EU 36 tot 45. Vast te leggen: bijbestellen, of in het protocol opnemen hoe met grotere maten wordt omgegaan.</w:t>
      </w:r>
    </w:p>
    <w:p>
      <w:pPr>
        <w:ind w:left="397" w:hanging="397"/>
      </w:pPr>
      <w:r>
        <w:rPr>
          <w:b/>
        </w:rPr>
        <w:t xml:space="preserve">3. </w:t>
      </w:r>
      <w:r>
        <w:t>Minimum batterijniveau om aan een meting te beginnen.</w:t>
      </w:r>
    </w:p>
    <w:p>
      <w:pPr>
        <w:ind w:left="397" w:hanging="397"/>
      </w:pPr>
      <w:r>
        <w:rPr>
          <w:b/>
        </w:rPr>
        <w:t xml:space="preserve">4. </w:t>
      </w:r>
      <w:r>
        <w:t>Exportformaat en bestandsnaamgeving, en langs welke weg de meting bij het onderzoeksteam raakt. Hangt samen met de beslissing over de formulierenroute.</w:t>
      </w:r>
    </w:p>
    <w:p>
      <w:pPr>
        <w:ind w:left="397" w:hanging="397"/>
      </w:pPr>
      <w:r>
        <w:rPr>
          <w:b/>
        </w:rPr>
        <w:t xml:space="preserve">5. </w:t>
      </w:r>
      <w:r>
        <w:t>Wat te doen bij minder dan 12 bruikbare mid-gait stappen, of bij een deelnemer die de 10 meter niet in één keer haalt.</w:t>
      </w:r>
    </w:p>
    <w:sectPr w:rsidR="00FC693F" w:rsidRPr="0006063C" w:rsidSect="00034616">
      <w:footerReference w:type="default" r:id="rId9"/>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PARADISE-studie  ·  eCRF 09b: Werkinstructie drukmeting (SOP pedar) ·  Versie [ 1.0 ]  ·  [ 11/09/2026 ]  ·  Pagina </w:t>
    </w:r>
    <w:r>
      <w:rPr>
        <w:sz w:val="16"/>
        <w:rFonts w:ascii="Arial" w:hAnsi="Arial"/>
      </w:rPr>
      <w:fldChar w:fldCharType="begin"/>
    </w:r>
    <w:r>
      <w:rPr>
        <w:sz w:val="16"/>
        <w:rFonts w:ascii="Arial" w:hAnsi="Arial"/>
      </w:rPr>
      <w:instrText xml:space="preserve"> PAGE </w:instrText>
    </w:r>
    <w:r>
      <w:rPr>
        <w:sz w:val="16"/>
        <w:rFonts w:ascii="Arial" w:hAnsi="Arial"/>
      </w:rPr>
      <w:fldChar w:fldCharType="separate"/>
    </w:r>
    <w:r>
      <w:rPr>
        <w:sz w:val="16"/>
        <w:rFonts w:ascii="Arial" w:hAnsi="Arial"/>
      </w:rPr>
      <w:t>1</w:t>
    </w:r>
    <w:r>
      <w:rPr>
        <w:sz w:val="16"/>
        <w:rFonts w:ascii="Arial" w:hAnsi="Arial"/>
      </w:rPr>
      <w:fldChar w:fldCharType="end"/>
    </w:r>
    <w:r>
      <w:rPr>
        <w:rFonts w:ascii="Arial" w:hAnsi="Arial"/>
        <w:sz w:val="16"/>
      </w:rPr>
      <w:t xml:space="preserve"> van </w:t>
    </w:r>
    <w:r>
      <w:rPr>
        <w:sz w:val="16"/>
        <w:rFonts w:ascii="Arial" w:hAnsi="Arial"/>
      </w:rPr>
      <w:fldChar w:fldCharType="begin"/>
    </w:r>
    <w:r>
      <w:rPr>
        <w:sz w:val="16"/>
        <w:rFonts w:ascii="Arial" w:hAnsi="Arial"/>
      </w:rPr>
      <w:instrText xml:space="preserve"> NUMPAGES </w:instrText>
    </w:r>
    <w:r>
      <w:rPr>
        <w:sz w:val="16"/>
        <w:rFonts w:ascii="Arial" w:hAnsi="Arial"/>
      </w:rPr>
      <w:fldChar w:fldCharType="separate"/>
    </w:r>
    <w:r>
      <w:rPr>
        <w:sz w:val="16"/>
        <w:rFonts w:ascii="Arial" w:hAnsi="Arial"/>
      </w:rPr>
      <w:t>1</w:t>
    </w:r>
    <w:r>
      <w:rPr>
        <w:sz w:val="16"/>
        <w:rFonts w:ascii="Arial" w:hAnsi="Arial"/>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