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 Healing status and the timing of the Cardiff Wound Impact Schedule are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