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8"/>
        </w:rPr>
        <w:t>Gezondheidseconomie — overleg Koen Putman</w:t>
      </w:r>
    </w:p>
    <w:p>
      <w:pPr>
        <w:spacing w:after="160"/>
      </w:pPr>
      <w:r>
        <w:rPr>
          <w:b w:val="0"/>
          <w:color w:val="5A6A78"/>
          <w:sz w:val="18"/>
        </w:rPr>
        <w:t>24 september 2026  ·  werkdocument</w:t>
      </w:r>
    </w:p>
    <w:p>
      <w:pPr>
        <w:spacing w:after="120"/>
      </w:pPr>
      <w:r>
        <w:rPr>
          <w:b w:val="0"/>
          <w:color w:val="1B2630"/>
          <w:sz w:val="19"/>
        </w:rPr>
        <w:t>Het manuscript legt de opzet van de economische evaluatie al vrij volledig vast. Wat ontbreekt is de uitvoering: de parameters om te rékenen, de regels die bepalen welke bron wint waar twee bronnen hetzelfde meten, en — het zwaarste punt — de gegevens om de interventie zelf te kostprijzen. Want dat is precies waar de terugbetalingsbeslissing over gaat.</w:t>
      </w:r>
    </w:p>
    <w:p>
      <w:pPr>
        <w:spacing w:after="40"/>
      </w:pPr>
      <w:r>
        <w:rPr>
          <w:b w:val="0"/>
          <w:color w:val="5A6A78"/>
          <w:sz w:val="16"/>
        </w:rPr>
        <w:t>De KCE-richtlijn is nagekeken in de derde editie van mei 2025 (rapport 400), niet de tweede van 2012. Instrumenten item voor item vergeleken; terugblikperiodes nagekeken in de iMTA-handleidingen.</w:t>
      </w:r>
    </w:p>
    <w:p>
      <w:pPr>
        <w:spacing w:before="300" w:after="100"/>
      </w:pPr>
      <w:r>
        <w:rPr>
          <w:b/>
          <w:color w:val="FF7A00"/>
          <w:sz w:val="22"/>
        </w:rPr>
        <w:t>1  Wat vastligt — niet heropenen</w:t>
      </w:r>
    </w:p>
    <w:p>
      <w:pPr>
        <w:spacing w:after="100"/>
      </w:pPr>
      <w:r>
        <w:rPr>
          <w:b w:val="0"/>
          <w:color w:val="5A6A78"/>
          <w:sz w:val="17"/>
        </w:rPr>
        <w:t>Staat zo in het manuscript. Hier alleen zodat het overleg er geen tijd aan besteedt.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2494"/>
            <w:shd w:val="clear" w:fill="1D8DB0"/>
          </w:tcPr>
          <w:p>
            <w:pPr>
              <w:spacing w:before="40" w:after="40"/>
            </w:pPr>
            <w:r>
              <w:rPr>
                <w:b/>
                <w:color w:val="FFFFFF"/>
                <w:sz w:val="16"/>
              </w:rPr>
              <w:t>ONDERDEEL</w:t>
            </w:r>
          </w:p>
        </w:tc>
        <w:tc>
          <w:tcPr>
            <w:tcW w:type="dxa" w:w="7370"/>
            <w:shd w:val="clear" w:fill="1D8DB0"/>
          </w:tcPr>
          <w:p>
            <w:pPr>
              <w:spacing w:before="40" w:after="40"/>
            </w:pPr>
            <w:r>
              <w:rPr>
                <w:b/>
                <w:color w:val="FFFFFF"/>
                <w:sz w:val="16"/>
              </w:rPr>
              <w:t>ZOALS HET VASTLIGT</w:t>
            </w:r>
          </w:p>
        </w:tc>
      </w:tr>
      <w:tr>
        <w:tc>
          <w:tcPr>
            <w:tcW w:type="dxa" w:w="2494"/>
          </w:tcPr>
          <w:p>
            <w:pPr>
              <w:spacing w:before="40" w:after="40"/>
            </w:pPr>
            <w:r>
              <w:rPr>
                <w:color w:val="1B2630"/>
                <w:sz w:val="17"/>
              </w:rPr>
              <w:t>Analysetype</w:t>
            </w:r>
          </w:p>
        </w:tc>
        <w:tc>
          <w:tcPr>
            <w:tcW w:type="dxa" w:w="7370"/>
          </w:tcPr>
          <w:p>
            <w:pPr>
              <w:spacing w:before="40" w:after="40"/>
            </w:pPr>
            <w:r>
              <w:rPr>
                <w:color w:val="1B2630"/>
                <w:sz w:val="17"/>
              </w:rPr>
              <w:t>Kosteneffectiviteit én kostenutiliteit over 18 maanden.</w:t>
            </w:r>
          </w:p>
        </w:tc>
      </w:tr>
      <w:tr>
        <w:tc>
          <w:tcPr>
            <w:tcW w:type="dxa" w:w="2494"/>
          </w:tcPr>
          <w:p>
            <w:pPr>
              <w:spacing w:before="40" w:after="40"/>
            </w:pPr>
            <w:r>
              <w:rPr>
                <w:color w:val="1B2630"/>
                <w:sz w:val="17"/>
              </w:rPr>
              <w:t>Perspectief</w:t>
            </w:r>
          </w:p>
        </w:tc>
        <w:tc>
          <w:tcPr>
            <w:tcW w:type="dxa" w:w="7370"/>
          </w:tcPr>
          <w:p>
            <w:pPr>
              <w:spacing w:before="40" w:after="40"/>
            </w:pPr>
            <w:r>
              <w:rPr>
                <w:color w:val="1B2630"/>
                <w:sz w:val="17"/>
              </w:rPr>
              <w:t>Betaler in de referentieanalyse, maatschappelijk in de gevoeligheidsanalyse.</w:t>
            </w:r>
          </w:p>
        </w:tc>
      </w:tr>
      <w:tr>
        <w:tc>
          <w:tcPr>
            <w:tcW w:type="dxa" w:w="2494"/>
          </w:tcPr>
          <w:p>
            <w:pPr>
              <w:spacing w:before="40" w:after="40"/>
            </w:pPr>
            <w:r>
              <w:rPr>
                <w:color w:val="1B2630"/>
                <w:sz w:val="17"/>
              </w:rPr>
              <w:t>Primair economisch eindpunt</w:t>
            </w:r>
          </w:p>
        </w:tc>
        <w:tc>
          <w:tcPr>
            <w:tcW w:type="dxa" w:w="7370"/>
          </w:tcPr>
          <w:p>
            <w:pPr>
              <w:spacing w:before="40" w:after="40"/>
            </w:pPr>
            <w:r>
              <w:rPr>
                <w:color w:val="1B2630"/>
                <w:sz w:val="17"/>
              </w:rPr>
              <w:t>De ICUR.</w:t>
            </w:r>
          </w:p>
        </w:tc>
      </w:tr>
      <w:tr>
        <w:tc>
          <w:tcPr>
            <w:tcW w:type="dxa" w:w="2494"/>
          </w:tcPr>
          <w:p>
            <w:pPr>
              <w:spacing w:before="40" w:after="40"/>
            </w:pPr>
            <w:r>
              <w:rPr>
                <w:color w:val="1B2630"/>
                <w:sz w:val="17"/>
              </w:rPr>
              <w:t>Waardeset</w:t>
            </w:r>
          </w:p>
        </w:tc>
        <w:tc>
          <w:tcPr>
            <w:tcW w:type="dxa" w:w="7370"/>
          </w:tcPr>
          <w:p>
            <w:pPr>
              <w:spacing w:before="40" w:after="40"/>
            </w:pPr>
            <w:r>
              <w:rPr>
                <w:color w:val="1B2630"/>
                <w:sz w:val="17"/>
              </w:rPr>
              <w:t>De Belgische — Bouckaert e.a. 2022, al in de referentielijst.</w:t>
            </w:r>
          </w:p>
        </w:tc>
      </w:tr>
      <w:tr>
        <w:tc>
          <w:tcPr>
            <w:tcW w:type="dxa" w:w="2494"/>
          </w:tcPr>
          <w:p>
            <w:pPr>
              <w:spacing w:before="40" w:after="40"/>
            </w:pPr>
            <w:r>
              <w:rPr>
                <w:color w:val="1B2630"/>
                <w:sz w:val="17"/>
              </w:rPr>
              <w:t>Rapportering</w:t>
            </w:r>
          </w:p>
        </w:tc>
        <w:tc>
          <w:tcPr>
            <w:tcW w:type="dxa" w:w="7370"/>
          </w:tcPr>
          <w:p>
            <w:pPr>
              <w:spacing w:before="40" w:after="40"/>
            </w:pPr>
            <w:r>
              <w:rPr>
                <w:color w:val="1B2630"/>
                <w:sz w:val="17"/>
              </w:rPr>
              <w:t>CHEERS.</w:t>
            </w:r>
          </w:p>
        </w:tc>
      </w:tr>
      <w:tr>
        <w:tc>
          <w:tcPr>
            <w:tcW w:type="dxa" w:w="2494"/>
          </w:tcPr>
          <w:p>
            <w:pPr>
              <w:spacing w:before="40" w:after="40"/>
            </w:pPr>
            <w:r>
              <w:rPr>
                <w:color w:val="1B2630"/>
                <w:sz w:val="17"/>
              </w:rPr>
              <w:t>Onzekerheid</w:t>
            </w:r>
          </w:p>
        </w:tc>
        <w:tc>
          <w:tcPr>
            <w:tcW w:type="dxa" w:w="7370"/>
          </w:tcPr>
          <w:p>
            <w:pPr>
              <w:spacing w:before="40" w:after="40"/>
            </w:pPr>
            <w:r>
              <w:rPr>
                <w:color w:val="1B2630"/>
                <w:sz w:val="17"/>
              </w:rPr>
              <w:t>Deterministisch én probabilistisch, Monte Carlo met 10 000 iteraties, kosteneffectiviteitsvlak en CEAC.</w:t>
            </w:r>
          </w:p>
        </w:tc>
      </w:tr>
      <w:tr>
        <w:tc>
          <w:tcPr>
            <w:tcW w:type="dxa" w:w="2494"/>
          </w:tcPr>
          <w:p>
            <w:pPr>
              <w:spacing w:before="40" w:after="40"/>
            </w:pPr>
            <w:r>
              <w:rPr>
                <w:color w:val="1B2630"/>
                <w:sz w:val="17"/>
              </w:rPr>
              <w:t>Extrapolatie</w:t>
            </w:r>
          </w:p>
        </w:tc>
        <w:tc>
          <w:tcPr>
            <w:tcW w:type="dxa" w:w="7370"/>
          </w:tcPr>
          <w:p>
            <w:pPr>
              <w:spacing w:before="40" w:after="40"/>
            </w:pPr>
            <w:r>
              <w:rPr>
                <w:color w:val="1B2630"/>
                <w:sz w:val="17"/>
              </w:rPr>
              <w:t>Markov naar vijf jaar, zes toestanden: ulcusvrij, actief ulcus, genezen, kleine amputatie, grote amputatie, overlijden.</w:t>
            </w:r>
          </w:p>
        </w:tc>
      </w:tr>
      <w:tr>
        <w:tc>
          <w:tcPr>
            <w:tcW w:type="dxa" w:w="2494"/>
          </w:tcPr>
          <w:p>
            <w:pPr>
              <w:spacing w:before="40" w:after="40"/>
            </w:pPr>
            <w:r>
              <w:rPr>
                <w:color w:val="1B2630"/>
                <w:sz w:val="17"/>
              </w:rPr>
              <w:t>Instrumenten</w:t>
            </w:r>
          </w:p>
        </w:tc>
        <w:tc>
          <w:tcPr>
            <w:tcW w:type="dxa" w:w="7370"/>
          </w:tcPr>
          <w:p>
            <w:pPr>
              <w:spacing w:before="40" w:after="40"/>
            </w:pPr>
            <w:r>
              <w:rPr>
                <w:color w:val="1B2630"/>
                <w:sz w:val="17"/>
              </w:rPr>
              <w:t>EQ-5D-5L (21), iMCQ (34), iPCQ (35) en de dagboeken (45, 45a, 45b), aangevuld met dossierextractie.</w:t>
            </w:r>
          </w:p>
        </w:tc>
      </w:tr>
      <w:tr>
        <w:tc>
          <w:tcPr>
            <w:tcW w:type="dxa" w:w="2494"/>
          </w:tcPr>
          <w:p>
            <w:pPr>
              <w:spacing w:before="40" w:after="40"/>
            </w:pPr>
            <w:r>
              <w:rPr>
                <w:color w:val="1B2630"/>
                <w:sz w:val="17"/>
              </w:rPr>
              <w:t>Dubbele rapportering</w:t>
            </w:r>
          </w:p>
        </w:tc>
        <w:tc>
          <w:tcPr>
            <w:tcW w:type="dxa" w:w="7370"/>
          </w:tcPr>
          <w:p>
            <w:pPr>
              <w:spacing w:before="40" w:after="40"/>
            </w:pPr>
            <w:r>
              <w:rPr>
                <w:color w:val="1B2630"/>
                <w:sz w:val="17"/>
              </w:rPr>
              <w:t>Kost per vermeden ulcus én kost per QALY naast elkaar — bewust, omdat die twee bij DIATEMP uiteenliepen.</w:t>
            </w:r>
          </w:p>
        </w:tc>
      </w:tr>
      <w:tr>
        <w:tc>
          <w:tcPr>
            <w:tcW w:type="dxa" w:w="2494"/>
          </w:tcPr>
          <w:p>
            <w:pPr>
              <w:spacing w:before="40" w:after="40"/>
            </w:pPr>
            <w:r>
              <w:rPr>
                <w:color w:val="1B2630"/>
                <w:sz w:val="17"/>
              </w:rPr>
              <w:t>Beslissingskader</w:t>
            </w:r>
          </w:p>
        </w:tc>
        <w:tc>
          <w:tcPr>
            <w:tcW w:type="dxa" w:w="7370"/>
          </w:tcPr>
          <w:p>
            <w:pPr>
              <w:spacing w:before="40" w:after="40"/>
            </w:pPr>
            <w:r>
              <w:rPr>
                <w:color w:val="1B2630"/>
                <w:sz w:val="17"/>
              </w:rPr>
              <w:t>Een terugbetalingsbeslissing. Schoeisel is terugbetaald, de drukmeting en de tijd om ernaar te handelen niet.</w:t>
            </w:r>
          </w:p>
        </w:tc>
      </w:tr>
    </w:tbl>
    <w:p>
      <w:pPr>
        <w:spacing w:before="300" w:after="100"/>
      </w:pPr>
      <w:r>
        <w:rPr>
          <w:b/>
          <w:color w:val="FF7A00"/>
          <w:sz w:val="22"/>
        </w:rPr>
        <w:t>2  Beslist en opgelost</w:t>
      </w:r>
    </w:p>
    <w:p>
      <w:pPr>
        <w:spacing w:after="100"/>
      </w:pPr>
      <w:r>
        <w:rPr>
          <w:b w:val="0"/>
          <w:color w:val="5A6A78"/>
          <w:sz w:val="17"/>
        </w:rPr>
        <w:t>Drie punten uit de eerdere versie die geen overleg meer nodig hebben.</w:t>
      </w:r>
    </w:p>
    <w:p>
      <w:pPr>
        <w:spacing w:after="100"/>
        <w:ind w:left="425" w:hanging="425"/>
      </w:pPr>
      <w:r>
        <w:rPr>
          <w:b/>
          <w:color w:val="FF7A00"/>
          <w:sz w:val="18"/>
        </w:rPr>
        <w:t xml:space="preserve">A.  </w:t>
      </w:r>
      <w:r>
        <w:rPr>
          <w:b/>
          <w:color w:val="1B2630"/>
          <w:sz w:val="18"/>
        </w:rPr>
        <w:t xml:space="preserve">De iPCQ blijft.  </w:t>
      </w:r>
      <w:r>
        <w:rPr>
          <w:b w:val="0"/>
          <w:color w:val="5A6A78"/>
          <w:sz w:val="18"/>
        </w:rPr>
        <w:t>Beslist. Verzuim, presenteïsme en verlies aan onbetaald werk wegen genoeg op tegen de invullast.</w:t>
      </w:r>
    </w:p>
    <w:p>
      <w:pPr>
        <w:spacing w:after="100"/>
        <w:ind w:left="425" w:hanging="425"/>
      </w:pPr>
      <w:r>
        <w:rPr>
          <w:b/>
          <w:color w:val="FF7A00"/>
          <w:sz w:val="18"/>
        </w:rPr>
        <w:t xml:space="preserve">B.  </w:t>
      </w:r>
      <w:r>
        <w:rPr>
          <w:b/>
          <w:color w:val="1B2630"/>
          <w:sz w:val="18"/>
        </w:rPr>
        <w:t xml:space="preserve">Het Nederlandse origineel van iMCQ en iPCQ, ongewijzigd.  </w:t>
      </w:r>
      <w:r>
        <w:rPr>
          <w:b w:val="0"/>
          <w:color w:val="5A6A78"/>
          <w:sz w:val="18"/>
        </w:rPr>
        <w:t>Van de twintig zorgvragen is er één Nederlands-specifiek (de bedrijfsarts, hier vrijwel altijd nul). De waardering gebeurt achteraf met Belgische tarieven, dus een Nederlands etiket bederft de rekening niet. Het enige onbruikbare item is de opleidingsvraag A4 — maar de hele A-sectie dubbelt met eCRF 07, waar opleiding en werksituatie al in Belgische categorieën staan. Voorstel: A-sectie niet afnemen, rest ongewijzigd, en bij iMTA alleen gebruikstoestemming vragen.</w:t>
      </w:r>
    </w:p>
    <w:p>
      <w:pPr>
        <w:spacing w:after="100"/>
        <w:ind w:left="425" w:hanging="425"/>
      </w:pPr>
      <w:r>
        <w:rPr>
          <w:b/>
          <w:color w:val="FF7A00"/>
          <w:sz w:val="18"/>
        </w:rPr>
        <w:t xml:space="preserve">C.  </w:t>
      </w:r>
      <w:r>
        <w:rPr>
          <w:b/>
          <w:color w:val="1B2630"/>
          <w:sz w:val="18"/>
        </w:rPr>
        <w:t xml:space="preserve">De terugblikperiode van vier weken blijft ook.  </w:t>
      </w:r>
      <w:r>
        <w:rPr>
          <w:b w:val="0"/>
          <w:color w:val="5A6A78"/>
          <w:sz w:val="18"/>
        </w:rPr>
        <w:t>De iMTA-handleiding is hier expliciet: een lángere periode gaat ten koste van de accuraatheid van zelfgerapporteerd verzuim, met bronvermelding. En ze schrijft de oplossing zelf voor: is het interval tussen twee meetmomenten langer dan vier weken, dan worden de gegevens geëxtrapoleerd naar het werkelijke tijdsverschil. Dus niet oprekken naar drie maanden, maar vier weken houden en extrapoleren — en dat in het analyseplan zetten, met de aanname erbij dat die vier weken representatief zijn voor het kwartaal. Bij een aandoening die in episodes verloopt is dat de zwakke plek, dus die aanname hoort in de gevoeligheidsanalyse.</w:t>
      </w:r>
    </w:p>
    <w:p>
      <w:pPr>
        <w:spacing w:before="300" w:after="100"/>
      </w:pPr>
      <w:r>
        <w:rPr>
          <w:b/>
          <w:color w:val="FF7A00"/>
          <w:sz w:val="22"/>
        </w:rPr>
        <w:t>3  Twee gaten die de kern raken</w:t>
      </w:r>
    </w:p>
    <w:p>
      <w:pPr>
        <w:spacing w:after="100"/>
      </w:pPr>
      <w:r>
        <w:rPr>
          <w:b w:val="0"/>
          <w:color w:val="5A6A78"/>
          <w:sz w:val="17"/>
        </w:rPr>
        <w:t>Deze twee zou ik als eerste op tafel leggen. Ze raken niet de analyse maar de vraag of de studie haar eigen onderzoeksvraag kán beantwoorden.</w:t>
      </w:r>
    </w:p>
    <w:p>
      <w:pPr>
        <w:spacing w:after="100"/>
        <w:ind w:left="425" w:hanging="425"/>
      </w:pPr>
      <w:r>
        <w:rPr>
          <w:b/>
          <w:color w:val="FF7A00"/>
          <w:sz w:val="18"/>
        </w:rPr>
        <w:t xml:space="preserve">1.  </w:t>
      </w:r>
      <w:r>
        <w:rPr>
          <w:b/>
          <w:color w:val="1B2630"/>
          <w:sz w:val="18"/>
        </w:rPr>
        <w:t xml:space="preserve">Niets legt de tijdsbesteding van de interventie vast.  </w:t>
      </w:r>
      <w:r>
        <w:rPr>
          <w:b/>
          <w:color w:val="1D8DB0"/>
          <w:sz w:val="18"/>
        </w:rPr>
        <w:t xml:space="preserve">[raakt de eCRF’s]  </w:t>
      </w:r>
      <w:r>
        <w:rPr>
          <w:b w:val="0"/>
          <w:color w:val="5A6A78"/>
          <w:sz w:val="18"/>
        </w:rPr>
        <w:t>De studie bestaat om te beantwoorden of de drukmeting én de klinische tijd om ernaar te handelen terugbetaald moeten worden. Maar geen enkel formulier registreert die tijd. eCRF 23, waar de iteratieve aanpassing onder drukfeedback gebeurt, heeft geen enkel tijdsveld. eCRF 24 registreert de meetresultaten, niet de minuten. eCRF 40 vraagt de therapeut wel naar tijdsbesteding, maar als globaal gemiddelde in een dagboek — bruikbaar voor de procesevaluatie, te grof voor micro-costing. Het aantal iteraties is nog af te leiden uit de extra ontlastingstests op eCRF 24, de duur niet. Zonder die gegevens moet de interventiekost uit aannames komen, en dat is precies het getal waar de terugbetalingsbeslissing op draait.</w:t>
      </w:r>
    </w:p>
    <w:p>
      <w:pPr>
        <w:spacing w:after="100"/>
        <w:ind w:left="425" w:hanging="425"/>
      </w:pPr>
      <w:r>
        <w:rPr>
          <w:b/>
          <w:color w:val="FF7A00"/>
          <w:sz w:val="18"/>
        </w:rPr>
        <w:t xml:space="preserve">2.  </w:t>
      </w:r>
      <w:r>
        <w:rPr>
          <w:b/>
          <w:color w:val="1B2630"/>
          <w:sz w:val="18"/>
        </w:rPr>
        <w:t xml:space="preserve">De dossierextractie bestaat niet als formulier.  </w:t>
      </w:r>
      <w:r>
        <w:rPr>
          <w:b/>
          <w:color w:val="1D8DB0"/>
          <w:sz w:val="18"/>
        </w:rPr>
        <w:t xml:space="preserve">[raakt de eCRF’s]  </w:t>
      </w:r>
      <w:r>
        <w:rPr>
          <w:b w:val="0"/>
          <w:color w:val="5A6A78"/>
          <w:sz w:val="18"/>
        </w:rPr>
        <w:t>Het manuscript belooft dat het zorggebruik aangevuld wordt met extractie uit de medische dossiers. Er is geen eCRF voor. Dat betekent zes ziekenhuizen, zes dossiersystemen, een verwerkingsgrond per centrum en iemands uren — niets daarvan is belegd. Concreet te beslissen: welke posten komen uit het dossier in plaats van uit patient report (vermoedelijk opnames, amputaties, antibiotica en wondzorg door de voetkliniek), wie extraheert, en dekt het toestemmingsformulier de dossierinzage al?</w:t>
      </w:r>
    </w:p>
    <w:p>
      <w:pPr>
        <w:spacing w:before="300" w:after="100"/>
      </w:pPr>
      <w:r>
        <w:rPr>
          <w:b/>
          <w:color w:val="FF7A00"/>
          <w:sz w:val="22"/>
        </w:rPr>
        <w:t>4  Zes diepere vragen</w:t>
      </w:r>
    </w:p>
    <w:p>
      <w:pPr>
        <w:spacing w:after="100"/>
      </w:pPr>
      <w:r>
        <w:rPr>
          <w:b w:val="0"/>
          <w:color w:val="5A6A78"/>
          <w:sz w:val="17"/>
        </w:rPr>
        <w:t>Methodologisch, in de volgorde waarin ik ze zou stellen. De eerste raakt de eCRF’s, de rest hoort in het analyseplan van oktober.</w:t>
      </w:r>
    </w:p>
    <w:p>
      <w:pPr>
        <w:spacing w:after="100"/>
        <w:ind w:left="425" w:hanging="425"/>
      </w:pPr>
      <w:r>
        <w:rPr>
          <w:b/>
          <w:color w:val="FF7A00"/>
          <w:sz w:val="18"/>
        </w:rPr>
        <w:t xml:space="preserve">3.  </w:t>
      </w:r>
      <w:r>
        <w:rPr>
          <w:b/>
          <w:color w:val="1B2630"/>
          <w:sz w:val="18"/>
        </w:rPr>
        <w:t xml:space="preserve">Welke bron wint waar dagboek, iMCQ en dossier elkaar overlappen?  </w:t>
      </w:r>
      <w:r>
        <w:rPr>
          <w:b/>
          <w:color w:val="1D8DB0"/>
          <w:sz w:val="18"/>
        </w:rPr>
        <w:t xml:space="preserve">[raakt de eCRF’s]  </w:t>
      </w:r>
      <w:r>
        <w:rPr>
          <w:b w:val="0"/>
          <w:color w:val="5A6A78"/>
          <w:sz w:val="18"/>
        </w:rPr>
        <w:t>Op de dure posten is de overlap tussen dagboek en iMCQ zo goed als volledig, en ze staan op dezelfde bezoeken. Het dagboek is prospectief en vraagt ook het remgeld in euro; de iMCQ kijkt drie maanden terug. Mijn voorstel: het dagboek is de ruggengraat, de iMCQ vult aan met wat het dagboek niet heeft — spoedgevallen, ambulance, mantelzorg in uren en vervoer — en bij tegenspraak wint het dagboek. Tweede laag: waarderen we met RIZIV-tarieven, of gebruiken we de bedragen die de deelnemer opschrijft, of beide voor verschillende posten?</w:t>
      </w:r>
    </w:p>
    <w:p>
      <w:pPr>
        <w:spacing w:after="100"/>
        <w:ind w:left="425" w:hanging="425"/>
      </w:pPr>
      <w:r>
        <w:rPr>
          <w:b/>
          <w:color w:val="FF7A00"/>
          <w:sz w:val="18"/>
        </w:rPr>
        <w:t xml:space="preserve">4.  </w:t>
      </w:r>
      <w:r>
        <w:rPr>
          <w:b/>
          <w:color w:val="1B2630"/>
          <w:sz w:val="18"/>
        </w:rPr>
        <w:t xml:space="preserve">Mantelzorg staat op drie plaatsen. Hoe voorkomen we dubbeltelling?  </w:t>
      </w:r>
      <w:r>
        <w:rPr>
          <w:b w:val="0"/>
          <w:color w:val="5A6A78"/>
          <w:sz w:val="18"/>
        </w:rPr>
        <w:t>eCRF 07 punt 1.10 vraagt of iemand mantelzorg ontvangt of verleent. iMCQ vraag 19 vraagt de werkelijk ontvangen uren per soort. iPCQ vraag 12 vraagt hoeveel uur iemand nódig zou hebben gehad om het onbetaalde werk over te nemen. De laatste twee zijn conceptueel verschillend — werkelijk versus hypothetisch — maar als de partner het huishouden écht heeft gedaan, staan dezelfde uren mogelijk in allebei. In de maatschappelijke analyse telt dat dubbel.</w:t>
      </w:r>
    </w:p>
    <w:p>
      <w:pPr>
        <w:spacing w:after="100"/>
        <w:ind w:left="425" w:hanging="425"/>
      </w:pPr>
      <w:r>
        <w:rPr>
          <w:b/>
          <w:color w:val="FF7A00"/>
          <w:sz w:val="18"/>
        </w:rPr>
        <w:t xml:space="preserve">5.  </w:t>
      </w:r>
      <w:r>
        <w:rPr>
          <w:b/>
          <w:color w:val="1B2630"/>
          <w:sz w:val="18"/>
        </w:rPr>
        <w:t xml:space="preserve">Rapporteren we de ICUR ook gestratificeerd naar therapietrouw?  </w:t>
      </w:r>
      <w:r>
        <w:rPr>
          <w:b w:val="0"/>
          <w:color w:val="5A6A78"/>
          <w:sz w:val="18"/>
        </w:rPr>
        <w:t>Het manuscript stelt zelf vast dat DIAFOS de adherentievoorwaarde ook in het economische domein terugvond. Therapietrouw is bij ons de vooraf vastgelegde mediator van het klinische effect, met een drempel van 80%. Een betaler wil weten wat hij koopt bij reële therapietrouw, niet bij trialtherapietrouw. Zetten we die stratificatie vooraf vast, of houden we ze exploratief?</w:t>
      </w:r>
    </w:p>
    <w:p>
      <w:pPr>
        <w:spacing w:after="100"/>
        <w:ind w:left="425" w:hanging="425"/>
      </w:pPr>
      <w:r>
        <w:rPr>
          <w:b/>
          <w:color w:val="FF7A00"/>
          <w:sz w:val="18"/>
        </w:rPr>
        <w:t xml:space="preserve">6.  </w:t>
      </w:r>
      <w:r>
        <w:rPr>
          <w:b/>
          <w:color w:val="1B2630"/>
          <w:sz w:val="18"/>
        </w:rPr>
        <w:t xml:space="preserve">Onderzoekskosten of zorgkosten — wat betaalt de betaler straks wérkelijk?  </w:t>
      </w:r>
      <w:r>
        <w:rPr>
          <w:b w:val="0"/>
          <w:color w:val="5A6A78"/>
          <w:sz w:val="18"/>
        </w:rPr>
        <w:t>De trialkost bevat opstartkosten die een betaler nooit ziet: zes drukmeetsystemen, de opleiding van zes centra, de leercurve, en metingen op maand 6, 12 en 18 die protocolgedreven zijn. In routinezorg meet een kliniek misschien één keer. Presenteren we naast de trialkost ook een gemodelleerde routinekost, hoe annuïteren we de apparatuur, en welke contacten schrappen we als onderzoek? Daar hoort ook de vraag bij of het tweede paar CMFO in de interventiekost zit — als Optimal Care twee paren krijgt en Usual Care één, dan leest een betaler een deel van het kostenverschil simpelweg als meer zolen.</w:t>
      </w:r>
    </w:p>
    <w:p>
      <w:pPr>
        <w:spacing w:after="100"/>
        <w:ind w:left="425" w:hanging="425"/>
      </w:pPr>
      <w:r>
        <w:rPr>
          <w:b/>
          <w:color w:val="FF7A00"/>
          <w:sz w:val="18"/>
        </w:rPr>
        <w:t xml:space="preserve">7.  </w:t>
      </w:r>
      <w:r>
        <w:rPr>
          <w:b/>
          <w:color w:val="1B2630"/>
          <w:sz w:val="18"/>
        </w:rPr>
        <w:t xml:space="preserve">Waar komen de utiliteiten per Markov-toestand vandaan?  </w:t>
      </w:r>
      <w:r>
        <w:rPr>
          <w:b w:val="0"/>
          <w:color w:val="5A6A78"/>
          <w:sz w:val="18"/>
        </w:rPr>
        <w:t>Zes toestanden, 144 deelnemers. In grote amputatie zal er nauwelijks persoonstijd zitten, dus die utiliteiten moeten uit de literatuur komen. Trialutiliteiten en literatuurutiliteiten binnen één model mengen is een bekende bron van vertekening. Welke toestanden trialgebaseerd, welke literatuurgebaseerd, en leggen we dat vooraf vast? KCE wijst er trouwens op dat de Belgische gezondheidsenquête EQ-5D-5L-normen per leeftijd en geslacht oplevert — bruikbaar voor de leeftijdscorrectie in de extrapolatiefase.</w:t>
      </w:r>
    </w:p>
    <w:p>
      <w:pPr>
        <w:spacing w:after="100"/>
        <w:ind w:left="425" w:hanging="425"/>
      </w:pPr>
      <w:r>
        <w:rPr>
          <w:b/>
          <w:color w:val="FF7A00"/>
          <w:sz w:val="18"/>
        </w:rPr>
        <w:t xml:space="preserve">8.  </w:t>
      </w:r>
      <w:r>
        <w:rPr>
          <w:b/>
          <w:color w:val="1B2630"/>
          <w:sz w:val="18"/>
        </w:rPr>
        <w:t xml:space="preserve">Sterfte: is de melding via ongewenste voorvallen betrouwbaar genoeg?  </w:t>
      </w:r>
      <w:r>
        <w:rPr>
          <w:b w:val="0"/>
          <w:color w:val="5A6A78"/>
          <w:sz w:val="18"/>
        </w:rPr>
        <w:t>Sterfte is hier zowel concurrerend risico voor ulcusrecidief als Markov-toestand, en in deze populatie niet verwaarloosbaar. Het manuscript zegt dat ze via de AE-rapportering wordt vastgelegd. Voor deelnemers die zich terugtrekken of uit zicht raken is dat een zwakke schakel, en voor QALY’s heb je de datum nodig. Voor het vijfjaarsmodel zijn Belgische sterftetafels plus een diabetesrisico nodig — uit welke bron?</w:t>
      </w:r>
    </w:p>
    <w:p>
      <w:pPr>
        <w:spacing w:before="300" w:after="100"/>
      </w:pPr>
      <w:r>
        <w:rPr>
          <w:b/>
          <w:color w:val="FF7A00"/>
          <w:sz w:val="22"/>
        </w:rPr>
        <w:t>5  Telefonische afname, en de vraag naar verándering</w:t>
      </w:r>
    </w:p>
    <w:p>
      <w:pPr>
        <w:spacing w:after="100"/>
      </w:pPr>
      <w:r>
        <w:rPr>
          <w:b w:val="0"/>
          <w:color w:val="5A6A78"/>
          <w:sz w:val="17"/>
        </w:rPr>
        <w:t>Twee voorstellen van ons, allebei nagekeken. Ze houden allebei steek, met voorwaarden.</w:t>
      </w:r>
    </w:p>
    <w:p>
      <w:pPr>
        <w:spacing w:after="100"/>
        <w:ind w:left="425" w:hanging="425"/>
      </w:pPr>
      <w:r>
        <w:rPr>
          <w:b/>
          <w:color w:val="FF7A00"/>
          <w:sz w:val="18"/>
        </w:rPr>
        <w:t xml:space="preserve">D.  </w:t>
      </w:r>
      <w:r>
        <w:rPr>
          <w:b/>
          <w:color w:val="1B2630"/>
          <w:sz w:val="18"/>
        </w:rPr>
        <w:t xml:space="preserve">Telefonisch afnemen kan, en het is meer dan lastenverschuiving.  </w:t>
      </w:r>
      <w:r>
        <w:rPr>
          <w:b w:val="0"/>
          <w:color w:val="5A6A78"/>
          <w:sz w:val="18"/>
        </w:rPr>
        <w:t>De iMTA-handleidingen staan het uitdrukkelijk toe: de iMCQ en de iPCQ kunnen “zowel schriftelijk als mondeling worden afgenomen”. Geen toestemmingsprobleem dus. De iPCQ-handleiding voegt er zelfs aan toe dat modules die niet relevant zijn voor de doelgroep weggelaten mogen worden — dat bevestigt meteen dat de A-sectie overslaan geen wijziging is. Het echte voordeel zit elders: een kwartaalgesprek is ook het moment waarop je het dagboek samen overloopt. Dat vangt het halflege dagboek én het kwijtgeraakte boekje op. Voorwaarde: de afnamewijze moet gelijk zijn in beide armen en over de hele looptijd. Bel je de ene wel en de andere niet, dan krijg je een systematisch meetverschil dat precies samenvalt met het kostenverschil dat je wil schatten.</w:t>
      </w:r>
    </w:p>
    <w:p>
      <w:pPr>
        <w:spacing w:after="100"/>
        <w:ind w:left="425" w:hanging="425"/>
      </w:pPr>
      <w:r>
        <w:rPr>
          <w:b/>
          <w:color w:val="FF7A00"/>
          <w:sz w:val="18"/>
        </w:rPr>
        <w:t xml:space="preserve">E.  </w:t>
      </w:r>
      <w:r>
        <w:rPr>
          <w:b/>
          <w:color w:val="1B2630"/>
          <w:sz w:val="18"/>
        </w:rPr>
        <w:t xml:space="preserve">Voor de EQ-5D heb je een ándere versie nodig.  </w:t>
      </w:r>
      <w:r>
        <w:rPr>
          <w:b w:val="0"/>
          <w:color w:val="5A6A78"/>
          <w:sz w:val="18"/>
        </w:rPr>
        <w:t>Hier zit de adder. Je mag de zelfinvulversie niet zomaar voorlezen aan de telefoon — dat is een andere afnamewijze. EuroQol geeft daar aparte versies voor uit: de telefoonversie is inmiddels een legacyversie en wordt vervangen door de interviewer-administered versie, die uitwisselbaar is met telefoon en face-to-face. Goed nieuws: je licentie dekt naast de zelfinvulversie ook de interviewer-, telefoon-, face-to-face- en proxyversies. Je moet het versiebestand dus alleen ópvragen. Zet dat bij de lopende aanvraag: Belgium Flemish, interviewer-administered, naast de zelfinvulversie.</w:t>
      </w:r>
    </w:p>
    <w:p>
      <w:pPr>
        <w:spacing w:after="100"/>
        <w:ind w:left="425" w:hanging="425"/>
      </w:pPr>
      <w:r>
        <w:rPr>
          <w:b/>
          <w:color w:val="FF7A00"/>
          <w:sz w:val="18"/>
        </w:rPr>
        <w:t xml:space="preserve">F.  </w:t>
      </w:r>
      <w:r>
        <w:rPr>
          <w:b/>
          <w:color w:val="1B2630"/>
          <w:sz w:val="18"/>
        </w:rPr>
        <w:t xml:space="preserve">De verandering-vraag doen jullie al — en de grens ligt goed.  </w:t>
      </w:r>
      <w:r>
        <w:rPr>
          <w:b w:val="0"/>
          <w:color w:val="5A6A78"/>
          <w:sz w:val="18"/>
        </w:rPr>
        <w:t>Dagboek 45b zegt het zelf: voor medicatie, thuisverpleegkundige en thuiszorgdiensten vraag je enkel wat veranderd is; consultaties, zorgcontacten, aankopen en ziekenhuisverblijf noteert de deelnemer wel telkens, “want dat zijn nieuwe gebeurtenissen in die periode”. Dat is precies de juiste grens. Verandering werkt voor staande regelingen — chronische medicatie, een vaste verpleegkundige, poetshulp — want mensen onthouden veranderingen beter dan aantallen. Maar een ulcusepisode met drie huisartscontacten en een spoedopname krijg je nooit uit “is er iets veranderd”, en dat zijn hier net de dure posten.</w:t>
      </w:r>
    </w:p>
    <w:p>
      <w:pPr>
        <w:spacing w:after="100"/>
        <w:ind w:left="425" w:hanging="425"/>
      </w:pPr>
      <w:r>
        <w:rPr>
          <w:b/>
          <w:color w:val="FF7A00"/>
          <w:sz w:val="18"/>
        </w:rPr>
        <w:t xml:space="preserve">G.  </w:t>
      </w:r>
      <w:r>
        <w:rPr>
          <w:b/>
          <w:color w:val="1B2630"/>
          <w:sz w:val="18"/>
        </w:rPr>
        <w:t xml:space="preserve">Maar de iMCQ spreekt die logica tegen.  </w:t>
      </w:r>
      <w:r>
        <w:rPr>
          <w:b w:val="0"/>
          <w:color w:val="5A6A78"/>
          <w:sz w:val="18"/>
        </w:rPr>
        <w:t>De iMCQ lijst medicatie (vraag 11) en thuiszorg (vraag 10) elke drie maanden opnieuw volledig op, terwijl het dagboek voor diezelfde posten zegt: alleen wat veranderd is. Wie op hetzelfde bezoek allebei invult, krijgt tegenstrijdige instructies voor dezelfde items. Dat is geen overlap meer maar een botsing van meetlogica, en het versterkt het voorstel om het dagboek de ruggengraat te maken.</w:t>
      </w:r>
    </w:p>
    <w:p>
      <w:pPr>
        <w:spacing w:after="100"/>
        <w:ind w:left="425" w:hanging="425"/>
      </w:pPr>
      <w:r>
        <w:rPr>
          <w:b/>
          <w:color w:val="FF7A00"/>
          <w:sz w:val="18"/>
        </w:rPr>
        <w:t xml:space="preserve">H.  </w:t>
      </w:r>
      <w:r>
        <w:rPr>
          <w:b/>
          <w:color w:val="1B2630"/>
          <w:sz w:val="18"/>
        </w:rPr>
        <w:t xml:space="preserve">Twee zwakke plekken van verandering-meten, en hoe je ze opvangt.  </w:t>
      </w:r>
      <w:r>
        <w:rPr>
          <w:b w:val="0"/>
          <w:color w:val="5A6A78"/>
          <w:sz w:val="18"/>
        </w:rPr>
        <w:t>Ten eerste: een ontbrekende golf breekt de ketting. Mist iemand het gesprek op maand 9, dan verwijst “veranderd sinds vorige keer” op maand 12 naar een onbekend niveau. Volledige opsomming is bestand tegen gaten, verandering-meten niet. Ten tweede: de baseline moet kloppen, want alles verwijst ernaar en fouten corrigeren zichzelf niet — ze lopen achttien maanden door. Opvang: houd minstens één volledige heropsomming halverwege. Zolang de iMCQ blijft, héb je die al; laat je ze vallen, bouw ze dan in op maand 9 en 18.</w:t>
      </w:r>
    </w:p>
    <w:p>
      <w:pPr>
        <w:spacing w:before="300" w:after="100"/>
      </w:pPr>
      <w:r>
        <w:rPr>
          <w:b/>
          <w:color w:val="FF7A00"/>
          <w:sz w:val="22"/>
        </w:rPr>
        <w:t>6  Twee dingen die geen vraag zijn maar een risico</w:t>
      </w:r>
    </w:p>
    <w:p>
      <w:pPr>
        <w:spacing w:after="100"/>
      </w:pPr>
      <w:r>
        <w:rPr>
          <w:b w:val="0"/>
          <w:color w:val="5A6A78"/>
          <w:sz w:val="17"/>
        </w:rPr>
        <w:t>Niet voor het overleg met jou als methodoloog, wel voor de uitvoering.</w:t>
      </w:r>
    </w:p>
    <w:p>
      <w:pPr>
        <w:spacing w:after="80"/>
      </w:pPr>
      <w:r>
        <w:rPr>
          <w:b w:val="0"/>
          <w:color w:val="1B2630"/>
          <w:sz w:val="18"/>
        </w:rPr>
        <w:t>Dagboek 45b is één boekje dat de deelnemer op visite 3 meekrijgt en dat de maanden 3 tot 18 bestrijkt. Raakt het kwijt, dan is vijftien maanden kostendata weg. Er is geen terugvaloptie voorzien — bijvoorbeeld het ingevulde deel per bezoek kopiëren en op de site laten.</w:t>
      </w:r>
    </w:p>
    <w:p>
      <w:pPr>
        <w:spacing w:after="80"/>
      </w:pPr>
      <w:r>
        <w:rPr>
          <w:b w:val="0"/>
          <w:color w:val="1B2630"/>
          <w:sz w:val="18"/>
        </w:rPr>
        <w:t>En de overzetlast: 45b heeft ongeveer negentig kostenregels per maanddeel, zes maanddelen, honderdvierenveertig deelnemers, alles centraal over te typen door het studieteam. Dat is nog niet geschat. Dit is het soort werk dat een studie stil laat vastlopen.</w:t>
      </w:r>
    </w:p>
    <w:p>
      <w:pPr>
        <w:spacing w:before="300" w:after="100"/>
      </w:pPr>
      <w:r>
        <w:rPr>
          <w:b/>
          <w:color w:val="FF7A00"/>
          <w:sz w:val="22"/>
        </w:rPr>
        <w:t>7  Wat het manuscript vaag laat, en wat KCE 400 erover zegt</w:t>
      </w:r>
    </w:p>
    <w:p>
      <w:pPr>
        <w:spacing w:after="100"/>
      </w:pPr>
      <w:r>
        <w:rPr>
          <w:b w:val="0"/>
          <w:color w:val="5A6A78"/>
          <w:sz w:val="17"/>
        </w:rPr>
        <w:t>Zeven plaatsen, met telkens het antwoord van de richtlijn erbij.</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515"/>
            <w:shd w:val="clear" w:fill="1D8DB0"/>
          </w:tcPr>
          <w:p>
            <w:pPr>
              <w:spacing w:before="40" w:after="40"/>
            </w:pPr>
            <w:r>
              <w:rPr>
                <w:b/>
                <w:color w:val="FFFFFF"/>
                <w:sz w:val="16"/>
              </w:rPr>
              <w:t>WAT ER NU STAAT</w:t>
            </w:r>
          </w:p>
        </w:tc>
        <w:tc>
          <w:tcPr>
            <w:tcW w:type="dxa" w:w="6350"/>
            <w:shd w:val="clear" w:fill="1D8DB0"/>
          </w:tcPr>
          <w:p>
            <w:pPr>
              <w:spacing w:before="40" w:after="40"/>
            </w:pPr>
            <w:r>
              <w:rPr>
                <w:b/>
                <w:color w:val="FFFFFF"/>
                <w:sz w:val="16"/>
              </w:rPr>
              <w:t>WAT DE RICHTLIJN VRAAGT</w:t>
            </w:r>
          </w:p>
        </w:tc>
      </w:tr>
      <w:tr>
        <w:tc>
          <w:tcPr>
            <w:tcW w:type="dxa" w:w="3515"/>
          </w:tcPr>
          <w:p>
            <w:pPr>
              <w:spacing w:before="40" w:after="40"/>
            </w:pPr>
            <w:r>
              <w:rPr>
                <w:color w:val="1B2630"/>
                <w:sz w:val="17"/>
              </w:rPr>
              <w:t>“discounted at rates specified in the Belgian HTA guidance”, zonder getallen</w:t>
            </w:r>
          </w:p>
        </w:tc>
        <w:tc>
          <w:tcPr>
            <w:tcW w:type="dxa" w:w="6350"/>
          </w:tcPr>
          <w:p>
            <w:pPr>
              <w:spacing w:before="40" w:after="40"/>
            </w:pPr>
            <w:r>
              <w:rPr>
                <w:color w:val="1B2630"/>
                <w:sz w:val="17"/>
              </w:rPr>
              <w:t>3% voor kosten, 1,5% voor effecten in de referentieanalyse. Plus — staat nu niet in het manuscript — verplichte scenario’s met een gelijke voet van 0%, 3% en 5%.</w:t>
            </w:r>
          </w:p>
        </w:tc>
      </w:tr>
      <w:tr>
        <w:tc>
          <w:tcPr>
            <w:tcW w:type="dxa" w:w="3515"/>
          </w:tcPr>
          <w:p>
            <w:pPr>
              <w:spacing w:before="40" w:after="40"/>
            </w:pPr>
            <w:r>
              <w:rPr>
                <w:color w:val="1B2630"/>
                <w:sz w:val="17"/>
              </w:rPr>
              <w:t>“valued using standard reference prices”</w:t>
            </w:r>
          </w:p>
        </w:tc>
        <w:tc>
          <w:tcPr>
            <w:tcW w:type="dxa" w:w="6350"/>
          </w:tcPr>
          <w:p>
            <w:pPr>
              <w:spacing w:before="40" w:after="40"/>
            </w:pPr>
            <w:r>
              <w:rPr>
                <w:color w:val="1B2630"/>
                <w:sz w:val="17"/>
              </w:rPr>
              <w:t>Gevalideerde bronnen, expliciet benoemd. CHEERS vraagt daarnaast valuta en prijsjaar. Beide ontbreken.</w:t>
            </w:r>
          </w:p>
        </w:tc>
      </w:tr>
      <w:tr>
        <w:tc>
          <w:tcPr>
            <w:tcW w:type="dxa" w:w="3515"/>
          </w:tcPr>
          <w:p>
            <w:pPr>
              <w:spacing w:before="40" w:after="40"/>
            </w:pPr>
            <w:r>
              <w:rPr>
                <w:color w:val="1B2630"/>
                <w:sz w:val="17"/>
              </w:rPr>
              <w:t>“where no national value set applies…”</w:t>
            </w:r>
          </w:p>
        </w:tc>
        <w:tc>
          <w:tcPr>
            <w:tcW w:type="dxa" w:w="6350"/>
          </w:tcPr>
          <w:p>
            <w:pPr>
              <w:spacing w:before="40" w:after="40"/>
            </w:pPr>
            <w:r>
              <w:rPr>
                <w:color w:val="1B2630"/>
                <w:sz w:val="17"/>
              </w:rPr>
              <w:t>Achterhaald: er ís een Belgische EQ-5D-5L-waardeset. Schrap de clausule en noem Bouckaert e.a. 2022 rechtstreeks.</w:t>
            </w:r>
          </w:p>
        </w:tc>
      </w:tr>
      <w:tr>
        <w:tc>
          <w:tcPr>
            <w:tcW w:type="dxa" w:w="3515"/>
          </w:tcPr>
          <w:p>
            <w:pPr>
              <w:spacing w:before="40" w:after="40"/>
            </w:pPr>
            <w:r>
              <w:rPr>
                <w:color w:val="1B2630"/>
                <w:sz w:val="17"/>
              </w:rPr>
              <w:t>Markov met zes toestanden benoemd</w:t>
            </w:r>
          </w:p>
        </w:tc>
        <w:tc>
          <w:tcPr>
            <w:tcW w:type="dxa" w:w="6350"/>
          </w:tcPr>
          <w:p>
            <w:pPr>
              <w:spacing w:before="40" w:after="40"/>
            </w:pPr>
            <w:r>
              <w:rPr>
                <w:color w:val="1B2630"/>
                <w:sz w:val="17"/>
              </w:rPr>
              <w:t>Cyclusduur ontbreekt, half-cycle correctie ook — die wordt aanbevolen. Utiliteiten per toestand met hun bron.</w:t>
            </w:r>
          </w:p>
        </w:tc>
      </w:tr>
      <w:tr>
        <w:tc>
          <w:tcPr>
            <w:tcW w:type="dxa" w:w="3515"/>
          </w:tcPr>
          <w:p>
            <w:pPr>
              <w:spacing w:before="40" w:after="40"/>
            </w:pPr>
            <w:r>
              <w:rPr>
                <w:color w:val="1B2630"/>
                <w:sz w:val="17"/>
              </w:rPr>
              <w:t>Horizon van vijf jaar</w:t>
            </w:r>
          </w:p>
        </w:tc>
        <w:tc>
          <w:tcPr>
            <w:tcW w:type="dxa" w:w="6350"/>
          </w:tcPr>
          <w:p>
            <w:pPr>
              <w:spacing w:before="40" w:after="40"/>
            </w:pPr>
            <w:r>
              <w:rPr>
                <w:color w:val="1B2630"/>
                <w:sz w:val="17"/>
              </w:rPr>
              <w:t>Bij een gemodelleerde horizon moeten kórtere horizonnen als scenario gepresenteerd worden. Argumenteer waarom vijf jaar en niet levenslang.</w:t>
            </w:r>
          </w:p>
        </w:tc>
      </w:tr>
      <w:tr>
        <w:tc>
          <w:tcPr>
            <w:tcW w:type="dxa" w:w="3515"/>
          </w:tcPr>
          <w:p>
            <w:pPr>
              <w:spacing w:before="40" w:after="40"/>
            </w:pPr>
            <w:r>
              <w:rPr>
                <w:color w:val="1B2630"/>
                <w:sz w:val="17"/>
              </w:rPr>
              <w:t>“societal perspective in the sensitivity analysis”</w:t>
            </w:r>
          </w:p>
        </w:tc>
        <w:tc>
          <w:tcPr>
            <w:tcW w:type="dxa" w:w="6350"/>
          </w:tcPr>
          <w:p>
            <w:pPr>
              <w:spacing w:before="40" w:after="40"/>
            </w:pPr>
            <w:r>
              <w:rPr>
                <w:color w:val="1B2630"/>
                <w:sz w:val="17"/>
              </w:rPr>
              <w:t>Klopt: productiviteitskosten horen niet in de referentieanalyse. Maar in de complementaire analyse moet het effect met harde data aangetoond worden.</w:t>
            </w:r>
          </w:p>
        </w:tc>
      </w:tr>
      <w:tr>
        <w:tc>
          <w:tcPr>
            <w:tcW w:type="dxa" w:w="3515"/>
          </w:tcPr>
          <w:p>
            <w:pPr>
              <w:spacing w:before="40" w:after="40"/>
            </w:pPr>
            <w:r>
              <w:rPr>
                <w:color w:val="1B2630"/>
                <w:sz w:val="17"/>
              </w:rPr>
              <w:t>“healthcare payer perspective”</w:t>
            </w:r>
          </w:p>
        </w:tc>
        <w:tc>
          <w:tcPr>
            <w:tcW w:type="dxa" w:w="6350"/>
          </w:tcPr>
          <w:p>
            <w:pPr>
              <w:spacing w:before="40" w:after="40"/>
            </w:pPr>
            <w:r>
              <w:rPr>
                <w:color w:val="1B2630"/>
                <w:sz w:val="17"/>
              </w:rPr>
              <w:t>Ruimer dan vaak gedacht: overheid én privé betalers, inclusief het remgeld. Goed nieuws — de dagboeken vragen dat al.</w:t>
            </w:r>
          </w:p>
        </w:tc>
      </w:tr>
    </w:tbl>
    <w:p>
      <w:pPr>
        <w:spacing w:before="300" w:after="100"/>
      </w:pPr>
      <w:r>
        <w:rPr>
          <w:b/>
          <w:color w:val="FF7A00"/>
          <w:sz w:val="22"/>
        </w:rPr>
        <w:t>8  Wat vóór de versie-lock beslist moet zijn</w:t>
      </w:r>
    </w:p>
    <w:p>
      <w:pPr>
        <w:spacing w:after="80"/>
      </w:pPr>
      <w:r>
        <w:rPr>
          <w:b w:val="0"/>
          <w:color w:val="1B2630"/>
          <w:sz w:val="18"/>
        </w:rPr>
        <w:t>Vier punten raken de eCRF’s en de databank: de tijdsregistratie van de interventie, de dossierextractie, de bronhiërarchie voor het zorggebruik, en de vraag of de iMCQ ook op baseline hoort — want zonder zorggebruik bij aanvang kunnen we niet corrigeren voor een onevenwicht tussen de armen. Na de lock is elke wijziging een amendement dat opnieuw langs de ethische commissie moet.</w:t>
      </w:r>
    </w:p>
    <w:p>
      <w:pPr>
        <w:spacing w:after="80"/>
      </w:pPr>
      <w:r>
        <w:rPr>
          <w:b w:val="0"/>
          <w:color w:val="1B2630"/>
          <w:sz w:val="18"/>
        </w:rPr>
        <w:t>De rest — discontovoeten, drempelwaarde, mengen van utiliteiten, imputatiemodel en clustering per centrum — hoort in het analyseplan van oktober en kan wachten.</w:t>
      </w:r>
    </w:p>
    <w:p>
      <w:pPr>
        <w:spacing w:after="80"/>
      </w:pPr>
      <w:r>
        <w:rPr>
          <w:b w:val="0"/>
          <w:color w:val="1B2630"/>
          <w:sz w:val="18"/>
        </w:rPr>
        <w:t>Twee punten voor het analyseplan die hier niet als vraag staan maar wel beslist moeten worden: ontbrekende data moeten gézamenlijk voor kosten en QALY’s geïmputeerd worden, anders klopt de bootstrap van de gezamenlijke verdeling niet. En met 24 deelnemers per centrum en kostenvariatie tussen centra is de vraag of het centrum als toevallig effect in het kostenmodel hoort.</w:t>
      </w:r>
    </w:p>
    <w:p>
      <w:pPr>
        <w:spacing w:before="240" w:after="0"/>
      </w:pPr>
      <w:r>
        <w:rPr>
          <w:b w:val="0"/>
          <w:color w:val="5A6A78"/>
          <w:sz w:val="15"/>
        </w:rPr>
        <w:t>Bron: eigen controle van het manuscript, de eCRF-set en instrument_event_mapping.csv op 24 september 2026. Richtlijn: KCE-rapport 400, derde editie, mei 2025 — richtlijnen 3, 9, 10, 11, 12, 14 en 16.3. Terugblikperiode: iMTA-handleiding iPCQ, paragraaf 1.3. Beschikbare versies van iMCQ en iPCQ nagekeken bij iMTA: geen Belgische of Vlaamse versie.</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