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from the patient's own baseline,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but the reduction was concentrated among adherent users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 intervention trial has evaluated pressure optimisation and adherence support together as an integrated service </w:t>
      </w:r>
      <w:sdt>
        <w:sdtPr>
          <w:tag w:val="CITATION CrawfordF19"/>
          <w:id w:val="634800851"/>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(19)</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increased adherence over follow-up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clinically, and it is at this point that PARADISE is positioned. PARADISE couples adherence support to pressure-guided optimisation of the orthosis itself, so that any gain in wear time is applied to footwear whose offloading has been verified against a pre-specified in-shoe pressure criterion rather than assumed to be adequate.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w:t>
      </w:r>
      <w:r w:rsidR="003E0E65">
        <w:rPr>
          <w:color w:val="000000"/>
          <w:lang w:val="en-GB"/>
        </w:rPr>
        <w:t>adequately powered multicentre randomised trial</w:t>
      </w:r>
      <w:r w:rsidRPr="0065684E">
        <w:rPr>
          <w:color w:val="000000"/>
          <w:lang w:val="en-GB"/>
        </w:rPr>
        <w:t>. Whether an approach assembled from components that individually failed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resection of one or more metatarsal head.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and footwear acceptance </w:t>
      </w:r>
      <w:r w:rsidR="003E0E65">
        <w:rPr>
          <w:color w:val="000000"/>
          <w:lang w:val="en-GB"/>
        </w:rPr>
        <w:t>criteria operationalise the practical precondition</w:t>
      </w:r>
      <w:r w:rsidRPr="0065684E">
        <w:rPr>
          <w:color w:val="000000"/>
          <w:lang w:val="en-GB"/>
        </w:rPr>
        <w:t xml:space="preserve"> for the primary outcome and its mediator to be measurable.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 The clinical team measures in-shoe plantar pressures using the Novel Pedar in-shoe system (Novel GmbH, Munich, Germany) with the Novel database software, during repeated ambulation along a 10-metre walkway, acquiring a minimum of 12 mid-gait steps per foot. Sensor insoles are calibrated and zeroed before use. Peak pressure is reported per foot region using a standardised eight-region mask (heel, medial and lateral midfoot, metatarsals 1, 2–3 and 4–5, hallux, and lesser toes). Three target regions are designated per foot: the site of the previous ulcer, together with the two forefoot or midfoot regions showing the highest peak pressure above 200 kPa; the heel is not eligible as a target region. The orthosis is considered adequately offloading when, at each target region, peak pressure with the orthosis is below 200 kPa or is at least 25% lower than at the same region measured without the orthosis at delivery (visit 2). That measurement remains the reference at 6, 12 and 18 months: the condition without the orthosis is repeated at every assessment to document the current unprotected pressure, but it does not replace the reference. At follow-up the orthosis is also modified when peak pressure at a target region has risen by 5% or more since the previous measurement, even if it remains below the threshold.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 Baseline measurement is performed at self-selected comfortable walking speed, which is thereafter maintained within 5% at follow-up to preserve comparability; standardised thin seamless cotton socks are worn throughout. Following the design protocol of Bus and colleagues  and the optimisation criteria validated in that group’s earlier work ,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r w:rsidR="00B129AE">
        <w:rPr>
          <w:color w:val="000000"/>
          <w:lang w:val="en-GB"/>
        </w:rPr>
      </w:r>
      <w:r w:rsidRPr="00B129AE">
        <w:rPr>
          <w:color w:val="000000"/>
          <w:lang w:val="en-GB"/>
        </w:rPr>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r>
      <w:r w:rsidR="003E0E65">
        <w:rPr>
          <w:color w:val="000000"/>
          <w:lang w:val="en-GB"/>
        </w:rPr>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Tailoring and fidelity. Both components are individually tailored: the offloading target is defined against that participant's own pressure measured without the orthosis at delivery (visit 2),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r w:rsidRPr="0065684E">
        <w:rPr>
          <w:color w:val="000000"/>
          <w:lang w:val="en-GB"/>
        </w:rPr>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establishing that adherence is modifiable by a bundled behavioural approach, though not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t>
      </w:r>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are read out by the study team at scheduled visits.</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McDermottK22"/>
          <w:id w:val="796129702"/>
          <w:citation/>
        </w:sdtPr>
        <w:sdtEndPr/>
        <w:sdtContent>
          <w:r>
            <w:fldChar w:fldCharType="begin"/>
          </w:r>
          <w:r w:rsidRPr="0065684E">
            <w:rPr>
              <w:lang w:val="en-GB"/>
            </w:rPr>
            <w:instrText xml:space="preserve"> CITATION McDermottK22 \p 210 \l 1033 </w:instrText>
          </w:r>
          <w:r>
            <w:fldChar w:fldCharType="separate"/>
          </w:r>
          <w:r w:rsidRPr="0065684E">
            <w:rPr>
              <w:noProof/>
              <w:lang w:val="en-GB"/>
            </w:rPr>
            <w:t>(33)</w:t>
          </w:r>
          <w:r>
            <w:fldChar w:fldCharType="end"/>
          </w:r>
        </w:sdtContent>
      </w:sdt>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MoveMonitor</w:t>
      </w:r>
      <w:proofErr w:type="spellEnd"/>
      <w:r w:rsidR="00801D0A" w:rsidRPr="00801D0A">
        <w:rPr>
          <w:color w:val="000000"/>
          <w:lang w:val="en-GB"/>
        </w:rPr>
        <w:t xml:space="preserve"> measurements are performed at baseline and at 12 months, with the 12-month assessment serving as the primary assessment of footwear adherence.</w:t>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(34–36)</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(37)</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(38)</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MoveMonitor activity profiling sampled at baseline and six months only, and continuous Orthotimer wear-time recording. Because in-shoe pressure is measured at four timepoints and activity is sampled at only two timepoints,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In-shoe pressure measurement is performed in both arms, but the resulting values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(39)</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(40)</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(41)</w:t>
          </w:r>
          <w:r>
            <w:fldChar w:fldCharType="end"/>
          </w:r>
        </w:sdtContent>
      </w:sdt>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711194192"/>
          <w:citation/>
        </w:sdtPr>
        <w:sdtEndPr/>
        <w:sdtContent>
          <w:r>
            <w:fldChar w:fldCharType="begin"/>
          </w:r>
          <w:r w:rsidRPr="0065684E">
            <w:rPr>
              <w:lang w:val="en-GB"/>
            </w:rPr>
            <w:instrText xml:space="preserve"> CITATION BenfattoG21 \p 44 \l 1033 </w:instrText>
          </w:r>
          <w:r>
            <w:fldChar w:fldCharType="separate"/>
          </w:r>
          <w:r w:rsidRPr="0065684E">
            <w:rPr>
              <w:noProof/>
              <w:lang w:val="en-GB"/>
            </w:rPr>
            <w:t>(42)</w:t>
          </w:r>
          <w:r>
            <w:fldChar w:fldCharType="end"/>
          </w:r>
        </w:sdtContent>
      </w:sdt>
      <w:r w:rsidRPr="0065684E">
        <w:rPr>
          <w:color w:val="000000"/>
          <w:lang w:val="en-GB"/>
        </w:rPr>
        <w:t xml:space="preserve">. Source documents, completed case report forms and the trial and investigator site master files are archived for at least fifteen years after the end of the investigation, as specified in the study’s data retention requirements </w:t>
      </w:r>
      <w:sdt>
        <w:sdtPr>
          <w:tag w:val="CITATION SteggeW18"/>
          <w:id w:val="703216756"/>
          <w:citation/>
        </w:sdtPr>
        <w:sdtEndPr/>
        <w:sdtContent>
          <w:r>
            <w:fldChar w:fldCharType="begin"/>
          </w:r>
          <w:r w:rsidRPr="0065684E">
            <w:rPr>
              <w:lang w:val="en-GB"/>
            </w:rPr>
            <w:instrText xml:space="preserve"> CITATION SteggeW18 \p 527 \l 1033 </w:instrText>
          </w:r>
          <w:r>
            <w:fldChar w:fldCharType="separate"/>
          </w:r>
          <w:r w:rsidRPr="0065684E">
            <w:rPr>
              <w:noProof/>
              <w:lang w:val="en-GB"/>
            </w:rPr>
            <w:t>(43)</w:t>
          </w:r>
          <w:r>
            <w:fldChar w:fldCharType="end"/>
          </w:r>
        </w:sdtContent>
      </w:sdt>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sdt>
        <w:sdtPr>
          <w:tag w:val="CITATION BhattA23"/>
          <w:id w:val="719844572"/>
          <w:citation/>
        </w:sdtPr>
        <w:sdtEndPr/>
        <w:sdtContent>
          <w:r>
            <w:fldChar w:fldCharType="begin"/>
          </w:r>
          <w:r w:rsidRPr="0065684E">
            <w:rPr>
              <w:lang w:val="en-GB"/>
            </w:rPr>
            <w:instrText xml:space="preserve"> CITATION BhattA23 \m FraserA23 \l 1033 </w:instrText>
          </w:r>
          <w:r>
            <w:fldChar w:fldCharType="separate"/>
          </w:r>
          <w:r>
            <w:rPr>
              <w:noProof/>
            </w:rPr>
            <w:t>(44,45)</w:t>
          </w:r>
          <w:r>
            <w:fldChar w:fldCharType="end"/>
          </w:r>
        </w:sdtContent>
      </w:sdt>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 </w:t>
      </w:r>
      <w:sdt>
        <w:sdtPr>
          <w:tag w:val="CITATION RodgersJ19"/>
          <w:id w:val="1151669742"/>
          <w:citation/>
        </w:sdtPr>
        <w:sdtEndPr/>
        <w:sdtContent>
          <w:r>
            <w:fldChar w:fldCharType="begin"/>
          </w:r>
          <w:r w:rsidRPr="0065684E">
            <w:rPr>
              <w:lang w:val="en-GB"/>
            </w:rPr>
            <w:instrText xml:space="preserve"> CITATION RodgersJ19 \p 392 \l 1033 </w:instrText>
          </w:r>
          <w:r>
            <w:fldChar w:fldCharType="separate"/>
          </w:r>
          <w:r w:rsidRPr="0065684E">
            <w:rPr>
              <w:noProof/>
              <w:lang w:val="en-GB"/>
            </w:rPr>
            <w:t>(46)</w:t>
          </w:r>
          <w:r>
            <w:fldChar w:fldCharType="end"/>
          </w:r>
        </w:sdtContent>
      </w:sdt>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ManchikantiL10"/>
          <w:id w:val="708978609"/>
          <w:citation/>
        </w:sdtPr>
        <w:sdtEndPr/>
        <w:sdtContent>
          <w:r>
            <w:fldChar w:fldCharType="begin"/>
          </w:r>
          <w:r w:rsidRPr="0065684E">
            <w:rPr>
              <w:lang w:val="en-GB"/>
            </w:rPr>
            <w:instrText xml:space="preserve"> CITATION ManchikantiL10 \m JoviiS20 \p 8 \l 1033 </w:instrText>
          </w:r>
          <w:r>
            <w:fldChar w:fldCharType="separate"/>
          </w:r>
          <w:r w:rsidRPr="0065684E">
            <w:rPr>
              <w:noProof/>
              <w:lang w:val="en-GB"/>
            </w:rPr>
            <w:t>(47,48)</w:t>
          </w:r>
          <w:r>
            <w:fldChar w:fldCharType="end"/>
          </w:r>
        </w:sdtContent>
      </w:sdt>
      <w:r w:rsidRPr="0065684E">
        <w:rPr>
          <w:color w:val="000000"/>
          <w:lang w:val="en-GB"/>
        </w:rPr>
        <w:t xml:space="preserve">. Anticipated device-related events include transient friction lesions during footwear accommodation, local skin irritation at the sensor site, and orthosis-related discomfort </w:t>
      </w:r>
      <w:sdt>
        <w:sdtPr>
          <w:tag w:val="CITATION VisserM21"/>
          <w:id w:val="517012318"/>
          <w:citation/>
        </w:sdtPr>
        <w:sdtEndPr/>
        <w:sdtContent>
          <w:r>
            <w:fldChar w:fldCharType="begin"/>
          </w:r>
          <w:r w:rsidRPr="0065684E">
            <w:rPr>
              <w:lang w:val="en-GB"/>
            </w:rPr>
            <w:instrText xml:space="preserve"> CITATION VisserM21 \m PowellR17 \p 2315 \l 1033 </w:instrText>
          </w:r>
          <w:r>
            <w:fldChar w:fldCharType="separate"/>
          </w:r>
          <w:r w:rsidRPr="0065684E">
            <w:rPr>
              <w:noProof/>
              <w:lang w:val="en-GB"/>
            </w:rPr>
            <w:t>(49,50)</w:t>
          </w:r>
          <w:r>
            <w:fldChar w:fldCharType="end"/>
          </w:r>
        </w:sdtContent>
      </w:sdt>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sdt>
        <w:sdtPr>
          <w:tag w:val="CITATION SteinbrookR06"/>
          <w:id w:val="1434733412"/>
          <w:citation/>
        </w:sdtPr>
        <w:sdtEndPr/>
        <w:sdtContent>
          <w:r>
            <w:fldChar w:fldCharType="begin"/>
          </w:r>
          <w:r w:rsidRPr="0065684E">
            <w:rPr>
              <w:lang w:val="en-GB"/>
            </w:rPr>
            <w:instrText xml:space="preserve"> CITATION SteinbrookR06 \p 1873 \l 1033 </w:instrText>
          </w:r>
          <w:r>
            <w:fldChar w:fldCharType="separate"/>
          </w:r>
          <w:r w:rsidRPr="0065684E">
            <w:rPr>
              <w:noProof/>
              <w:lang w:val="en-GB"/>
            </w:rPr>
            <w:t>(51)</w:t>
          </w:r>
          <w:r>
            <w:fldChar w:fldCharType="end"/>
          </w:r>
        </w:sdtContent>
      </w:sdt>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Analyses follow ICH E9 and its addendum E9(R1) and are specified in full in a statistical analysis plan finalised and version-controlled before database lock (Additional file 4); the clinical study report follows ICH E3 .</w:t>
      </w:r>
      <w:sdt>
        <w:sdtPr>
          <w:tag w:val="CITATION IonanA22"/>
          <w:id w:val="1717106695"/>
          <w:citation/>
        </w:sdtPr>
        <w:sdtEndPr/>
        <w:sdtContent>
          <w:r>
            <w:fldChar w:fldCharType="begin"/>
          </w:r>
          <w:r w:rsidRPr="0065684E">
            <w:rPr>
              <w:lang w:val="en-GB"/>
            </w:rPr>
            <w:instrText xml:space="preserve"> CITATION IonanA22 \m AlfaroV07 \l 1033 </w:instrText>
          </w:r>
          <w:r>
            <w:fldChar w:fldCharType="separate"/>
          </w:r>
          <w:r w:rsidRPr="0065684E">
            <w:rPr>
              <w:noProof/>
              <w:lang w:val="en-GB"/>
            </w:rPr>
            <w:t>(52,53)</w:t>
          </w:r>
          <w:r>
            <w:fldChar w:fldCharType="end"/>
          </w:r>
        </w:sdtContent>
      </w:sdt>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(54)</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sdt>
        <w:sdtPr>
          <w:tag w:val="CITATION GonemS16"/>
          <w:id w:val="862206457"/>
          <w:citation/>
        </w:sdtPr>
        <w:sdtEndPr/>
        <w:sdtContent>
          <w:r>
            <w:fldChar w:fldCharType="begin"/>
          </w:r>
          <w:r w:rsidRPr="0065684E">
            <w:rPr>
              <w:lang w:val="en-GB"/>
            </w:rPr>
            <w:instrText xml:space="preserve"> CITATION GonemS16 \p 869 \l 1033 </w:instrText>
          </w:r>
          <w:r>
            <w:fldChar w:fldCharType="separate"/>
          </w:r>
          <w:r w:rsidRPr="0065684E">
            <w:rPr>
              <w:noProof/>
              <w:lang w:val="en-GB"/>
            </w:rPr>
            <w:t>(55)</w:t>
          </w:r>
          <w:r>
            <w:fldChar w:fldCharType="end"/>
          </w:r>
        </w:sdtContent>
      </w:sdt>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sdt>
        <w:sdtPr>
          <w:tag w:val="CITATION BusS152"/>
          <w:id w:val="1062072387"/>
          <w:citation/>
        </w:sdtPr>
        <w:sdtEndPr/>
        <w:sdtContent>
          <w:r w:rsidR="00BF6FC8">
            <w:fldChar w:fldCharType="begin"/>
          </w:r>
          <w:r w:rsidR="00BF6FC8" w:rsidRPr="0065684E">
            <w:rPr>
              <w:lang w:val="en-GB"/>
            </w:rPr>
            <w:instrText xml:space="preserve"> CITATION BusS152 \p 34 \l 1033 </w:instrText>
          </w:r>
          <w:r w:rsidR="00BF6FC8">
            <w:fldChar w:fldCharType="separate"/>
          </w:r>
          <w:r w:rsidR="00BF6FC8" w:rsidRPr="0065684E">
            <w:rPr>
              <w:noProof/>
              <w:lang w:val="en-GB"/>
            </w:rPr>
            <w:t>(56)</w:t>
          </w:r>
          <w:r w:rsidR="00BF6FC8">
            <w:fldChar w:fldCharType="end"/>
          </w:r>
        </w:sdtContent>
      </w:sdt>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 </w:t>
      </w:r>
      <w:r>
        <w:rPr>
          <w:color w:val="000000"/>
          <w:lang w:val="en-GB"/>
        </w:rPr>
        <w:t xml:space="preserve">Intervention costs were more than offset by lower ulcer-treatment costs, and the analysis reproduced in the economic domain the </w:t>
      </w:r>
      <w:r>
        <w:rPr>
          <w:color w:val="000000"/>
          <w:lang w:val="en-GB"/>
        </w:rPr>
        <w:lastRenderedPageBreak/>
        <w:t>adherence conditionality observed clinically.</w:t>
      </w:r>
      <w:r w:rsidR="00BF6FC8" w:rsidRPr="0065684E">
        <w:rPr>
          <w:color w:val="000000"/>
          <w:lang w:val="en-GB"/>
        </w:rPr>
        <w:t xml:space="preserve"> 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in accordance with the CHEERS statement </w:t>
      </w:r>
      <w:sdt>
        <w:sdtPr>
          <w:tag w:val="CITATION HusereauD13"/>
          <w:id w:val="251461267"/>
          <w:citation/>
        </w:sdtPr>
        <w:sdtEndPr/>
        <w:sdtContent>
          <w:r>
            <w:fldChar w:fldCharType="begin"/>
          </w:r>
          <w:r w:rsidRPr="0065684E">
            <w:rPr>
              <w:lang w:val="en-GB"/>
            </w:rPr>
            <w:instrText xml:space="preserve"> CITATION HusereauD13 \l 1033 </w:instrText>
          </w:r>
          <w:r>
            <w:fldChar w:fldCharType="separate"/>
          </w:r>
          <w:r w:rsidRPr="0065684E">
            <w:rPr>
              <w:noProof/>
              <w:lang w:val="en-GB"/>
            </w:rPr>
            <w:t>(57)</w:t>
          </w:r>
          <w:r>
            <w:fldChar w:fldCharType="end"/>
          </w:r>
        </w:sdtContent>
      </w:sdt>
      <w:r w:rsidRPr="0065684E">
        <w:rPr>
          <w:color w:val="000000"/>
          <w:lang w:val="en-GB"/>
        </w:rPr>
        <w:t xml:space="preserve">. Quality-adjusted life years are derived from EQ-5D-5L responses valued using the value set specified by the current Belgian health technology assessment guidance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(58)</w:t>
          </w:r>
          <w:r>
            <w:fldChar w:fldCharType="end"/>
          </w:r>
        </w:sdtContent>
      </w:sdt>
      <w:r w:rsidRPr="0065684E">
        <w:rPr>
          <w:color w:val="000000"/>
          <w:lang w:val="en-GB"/>
        </w:rPr>
        <w:t xml:space="preserve">; where no national value set applies, the value set recommended by that guidance is used and stated explicitly.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(59)</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(60)</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(61)</w:t>
          </w:r>
          <w:r>
            <w:fldChar w:fldCharType="end"/>
          </w:r>
        </w:sdtContent>
      </w:sdt>
      <w:r w:rsidRPr="0065684E">
        <w:rPr>
          <w:color w:val="000000"/>
          <w:lang w:val="en-GB"/>
        </w:rPr>
        <w:t xml:space="preserve">; and guideline-based care was cost-effective over a lifetime horizon at US$25,000 per QALY gained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(62)</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at a willingness to pay of €50,000 per QALY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(64)</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(65)</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738830294"/>
          <w:citation/>
        </w:sdtPr>
        <w:sdtEndPr/>
        <w:sdtContent>
          <w:r>
            <w:fldChar w:fldCharType="begin"/>
          </w:r>
          <w:r w:rsidRPr="0065684E">
            <w:rPr>
              <w:lang w:val="en-GB"/>
            </w:rPr>
            <w:instrText xml:space="preserve"> CITATION JoviiS20 \p 701 \l 1033 </w:instrText>
          </w:r>
          <w:r>
            <w:fldChar w:fldCharType="separate"/>
          </w:r>
          <w:r w:rsidRPr="0065684E">
            <w:rPr>
              <w:noProof/>
              <w:lang w:val="en-GB"/>
            </w:rPr>
            <w:t>(48)</w:t>
          </w:r>
          <w:r>
            <w:fldChar w:fldCharType="end"/>
          </w:r>
        </w:sdtContent>
      </w:sdt>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sdt>
        <w:sdtPr>
          <w:tag w:val="CITATION ChanA252"/>
          <w:id w:val="431592364"/>
          <w:citation/>
        </w:sdtPr>
        <w:sdtEndPr/>
        <w:sdtContent>
          <w:r>
            <w:fldChar w:fldCharType="begin"/>
          </w:r>
          <w:r w:rsidRPr="0065684E">
            <w:rPr>
              <w:lang w:val="en-GB"/>
            </w:rPr>
            <w:instrText xml:space="preserve"> CITATION ChanA252 \l 1033 </w:instrText>
          </w:r>
          <w:r>
            <w:fldChar w:fldCharType="separate"/>
          </w:r>
          <w:r w:rsidRPr="0065684E">
            <w:rPr>
              <w:noProof/>
              <w:lang w:val="en-GB"/>
            </w:rPr>
            <w:t>(66)</w:t>
          </w:r>
          <w:r>
            <w:fldChar w:fldCharType="end"/>
          </w:r>
        </w:sdtContent>
      </w:sdt>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CrawfordF19"/>
          <w:id w:val="1916433667"/>
          <w:citation/>
        </w:sdtPr>
        <w:sdtEndPr/>
        <w:sdtContent>
          <w:r>
            <w:fldChar w:fldCharType="begin"/>
          </w:r>
          <w:r w:rsidRPr="0065684E">
            <w:rPr>
              <w:lang w:val="en-GB"/>
            </w:rPr>
            <w:instrText xml:space="preserve"> CITATION CrawfordF19 \p 59 \l 1033 </w:instrText>
          </w:r>
          <w:r>
            <w:fldChar w:fldCharType="separate"/>
          </w:r>
          <w:r w:rsidRPr="0065684E">
            <w:rPr>
              <w:noProof/>
              <w:lang w:val="en-GB"/>
            </w:rPr>
            <w:t>(17)</w:t>
          </w:r>
          <w:r>
            <w:fldChar w:fldCharType="end"/>
          </w:r>
        </w:sdtContent>
      </w:sdt>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(18)</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sdt>
        <w:sdtPr>
          <w:tag w:val="CITATION PouwerF23"/>
          <w:id w:val="1661827370"/>
          <w:citation/>
        </w:sdtPr>
        <w:sdtEndPr/>
        <w:sdtContent>
          <w:r>
            <w:fldChar w:fldCharType="begin"/>
          </w:r>
          <w:r w:rsidRPr="0065684E">
            <w:rPr>
              <w:lang w:val="en-GB"/>
            </w:rPr>
            <w:instrText xml:space="preserve"> CITATION PouwerF23 \p 4 \l 1033 </w:instrText>
          </w:r>
          <w:r>
            <w:fldChar w:fldCharType="separate"/>
          </w:r>
          <w:r w:rsidRPr="0065684E">
            <w:rPr>
              <w:noProof/>
              <w:lang w:val="en-GB"/>
            </w:rPr>
            <w:t>(27)</w:t>
          </w:r>
          <w:r>
            <w:fldChar w:fldCharType="end"/>
          </w:r>
        </w:sdtContent>
      </w:sdt>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that the existing literature has already addressed without establishing the efficacy of individual intervention components</w:t>
      </w:r>
      <w:r w:rsidRPr="0065684E">
        <w:rPr>
          <w:color w:val="000000"/>
          <w:lang w:val="en-GB"/>
        </w:rPr>
        <w:t xml:space="preserve"> </w:t>
      </w:r>
      <w:sdt>
        <w:sdtPr>
          <w:tag w:val="CITATION BonellC12"/>
          <w:id w:val="555259775"/>
          <w:citation/>
        </w:sdtPr>
        <w:sdtEndPr/>
        <w:sdtContent>
          <w:r>
            <w:fldChar w:fldCharType="begin"/>
          </w:r>
          <w:r w:rsidRPr="0065684E">
            <w:rPr>
              <w:lang w:val="en-GB"/>
            </w:rPr>
            <w:instrText xml:space="preserve"> CITATION BonellC12 \p 2306 \l 1033 </w:instrText>
          </w:r>
          <w:r>
            <w:fldChar w:fldCharType="separate"/>
          </w:r>
          <w:r w:rsidRPr="0065684E">
            <w:rPr>
              <w:noProof/>
              <w:lang w:val="en-GB"/>
            </w:rPr>
            <w:t>(67)</w:t>
          </w:r>
          <w:r>
            <w:fldChar w:fldCharType="end"/>
          </w:r>
        </w:sdtContent>
      </w:sdt>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sdt>
        <w:sdtPr>
          <w:tag w:val="CITATION VrijensB23"/>
          <w:id w:val="157552596"/>
          <w:citation/>
        </w:sdtPr>
        <w:sdtEndPr/>
        <w:sdtContent>
          <w:r>
            <w:fldChar w:fldCharType="begin"/>
          </w:r>
          <w:r w:rsidRPr="0065684E">
            <w:rPr>
              <w:lang w:val="en-GB"/>
            </w:rPr>
            <w:instrText xml:space="preserve"> CITATION VrijensB23 \p 9 \l 1033 </w:instrText>
          </w:r>
          <w:r>
            <w:fldChar w:fldCharType="separate"/>
          </w:r>
          <w:r w:rsidRPr="0065684E">
            <w:rPr>
              <w:noProof/>
              <w:lang w:val="en-GB"/>
            </w:rPr>
            <w:t>(68)</w:t>
          </w:r>
          <w:r>
            <w:fldChar w:fldCharType="end"/>
          </w:r>
        </w:sdtContent>
      </w:sdt>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which was derived from clinical outcome data.</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sdt>
        <w:sdtPr>
          <w:tag w:val="CITATION McCormickC13"/>
          <w:id w:val="88126567"/>
          <w:citation/>
        </w:sdtPr>
        <w:sdtEndPr/>
        <w:sdtContent>
          <w:r>
            <w:fldChar w:fldCharType="begin"/>
          </w:r>
          <w:r w:rsidRPr="0065684E">
            <w:rPr>
              <w:lang w:val="en-GB"/>
            </w:rPr>
            <w:instrText xml:space="preserve"> CITATION McCormickC13 \p 27 \l 1033 </w:instrText>
          </w:r>
          <w:r>
            <w:fldChar w:fldCharType="separate"/>
          </w:r>
          <w:r w:rsidRPr="0065684E">
            <w:rPr>
              <w:noProof/>
              <w:lang w:val="en-GB"/>
            </w:rPr>
            <w:t>(69)</w:t>
          </w:r>
          <w:r>
            <w:fldChar w:fldCharType="end"/>
          </w:r>
        </w:sdtContent>
      </w:sdt>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(70)</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reaching approximately 50–65% at three to five years </w:t>
      </w:r>
      <w:sdt>
        <w:sdtPr>
          <w:tag w:val="CITATION McDermottK22"/>
          <w:id w:val="1348746248"/>
          <w:citation/>
        </w:sdtPr>
        <w:sdtEndPr/>
        <w:sdtContent>
          <w:r>
            <w:fldChar w:fldCharType="begin"/>
          </w:r>
          <w:r w:rsidRPr="0065684E">
            <w:rPr>
              <w:lang w:val="en-GB"/>
            </w:rPr>
            <w:instrText xml:space="preserve"> CITATION McDermottK22 \p 216 \l 1033 </w:instrText>
          </w:r>
          <w:r>
            <w:fldChar w:fldCharType="separate"/>
          </w:r>
          <w:r w:rsidRPr="0065684E">
            <w:rPr>
              <w:noProof/>
              <w:lang w:val="en-GB"/>
            </w:rPr>
            <w:t>(33)</w:t>
          </w:r>
          <w:r>
            <w:fldChar w:fldCharType="end"/>
          </w:r>
        </w:sdtContent>
      </w:sdt>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sdt>
        <w:sdtPr>
          <w:tag w:val="CITATION ManW24"/>
          <w:id w:val="641126255"/>
          <w:citation/>
        </w:sdtPr>
        <w:sdtEndPr/>
        <w:sdtContent>
          <w:r>
            <w:fldChar w:fldCharType="begin"/>
          </w:r>
          <w:r w:rsidRPr="0065684E">
            <w:rPr>
              <w:lang w:val="en-GB"/>
            </w:rPr>
            <w:instrText xml:space="preserve"> CITATION ManW24 \p 1628 \l 1033 </w:instrText>
          </w:r>
          <w:r>
            <w:fldChar w:fldCharType="separate"/>
          </w:r>
          <w:r w:rsidRPr="0065684E">
            <w:rPr>
              <w:noProof/>
              <w:lang w:val="en-GB"/>
            </w:rPr>
            <w:t>(71)</w:t>
          </w:r>
          <w:r>
            <w:fldChar w:fldCharType="end"/>
          </w:r>
        </w:sdtContent>
      </w:sdt>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(72)</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each exist and each has failed on its own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 The authors declare that they have no competing interests. The funder had no role in the design of the study, in the collection, analysis or interpretation of data, or in the writing of this protocol.</w:t>
      </w:r>
      <w:r w:rsidRPr="0065684E">
        <w:rPr>
          <w:color w:val="000000"/>
          <w:lang w:val="en-GB"/>
        </w:rPr>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 JDB and KD conceived the trial and designed the investigation plan. JDB drafted the protocol and this manuscript, developed the pressure-measurement and adherence-monitoring procedures, and coordinates the investigation across sites. KD supervised the biomechanical design and the offloading criteria. FD designed the behavioural intervention and the process evaluation and leads the motivational interviewing training. MF and KP designed the health-economic evaluation. All authors critically revised the manuscript and approved the final version.</w:t>
      </w:r>
      <w:r w:rsidRPr="0065684E">
        <w:rPr>
          <w:color w:val="000000"/>
          <w:lang w:val="en-GB"/>
        </w:rPr>
      </w:r>
    </w:p>
    <w:p w14:paraId="5EC2C781" w14:textId="77777777" w:rsidR="0083430E" w:rsidRPr="0065684E" w:rsidRDefault="00BF6FC8">
      <w:pPr>
        <w:rPr>
          <w:lang w:val="en-GB"/>
        </w:rPr>
      </w:pPr>
      <w:r w:rsidRPr="0065684E">
        <w:rPr>
          <w:b/>
          <w:bCs/>
          <w:color w:val="000000"/>
          <w:lang w:val="en-GB"/>
        </w:rPr>
        <w:t>Acknowledgements. The authors thank the multidisciplinary teams of the six participating Diabetic Foot Clinics for their commitment to the trial, and the patient representatives who reviewed the participant information and consent documentation.</w:t>
      </w:r>
      <w:r w:rsidRPr="0065684E">
        <w:rPr>
          <w:color w:val="000000"/>
          <w:lang w:val="en-GB"/>
        </w:rPr>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Figure 1. 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t>
      </w:r>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t>
      </w:r>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t>
      </w:r>
      <w:sdt>
        <w:sdtPr>
          <w:tag w:val="CITATION LazzariniP19"/>
          <w:id w:val="1712716256"/>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This analysis is exploratory and restricted to participants with adequate concurrent sensor coverage.</w:t>
      </w:r>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CMFO prescription (Optimal Care)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CMFO delivery + sensor integration (Optimal Care)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p>
        </w:tc>
        <w:tc>
          <w:tcPr>
            <w:tcW w:w="0" w:type="auto"/>
          </w:tcPr>
          <w:p w14:paraId="3DFD81EB" w14:textId="77777777" w:rsidR="0083430E" w:rsidRDefault="00BF6FC8">
            <w:r>
              <w:rPr>
                <w:color w:val="000000"/>
              </w:rPr>
              <w:t>X</w:t>
            </w:r>
          </w:p>
        </w:tc>
        <w:tc>
          <w:tcPr>
            <w:tcW w:w="0" w:type="auto"/>
          </w:tcPr>
          <w:p w14:paraId="416DFBB3" w14:textId="77777777" w:rsidR="0083430E" w:rsidRDefault="0083430E"/>
        </w:tc>
        <w:tc>
          <w:tcPr>
            <w:tcW w:w="0" w:type="auto"/>
          </w:tcPr>
          <w:p w14:paraId="335DC803" w14:textId="77777777" w:rsidR="0083430E" w:rsidRDefault="00BF6FC8">
            <w:r>
              <w:rPr>
                <w:color w:val="000000"/>
              </w:rPr>
              <w:t>X</w:t>
            </w:r>
          </w:p>
        </w:tc>
        <w:tc>
          <w:tcPr>
            <w:tcW w:w="0" w:type="auto"/>
          </w:tcPr>
          <w:p w14:paraId="2FCEE798" w14:textId="77777777" w:rsidR="0083430E" w:rsidRDefault="0083430E"/>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p>
        </w:tc>
        <w:tc>
          <w:tcPr>
            <w:tcW w:w="0" w:type="auto"/>
          </w:tcPr>
          <w:p w14:paraId="389FC75C" w14:textId="77777777" w:rsidR="0083430E" w:rsidRDefault="00BF6FC8">
            <w:r>
              <w:rPr>
                <w:color w:val="000000"/>
              </w:rPr>
              <w:t>X</w:t>
            </w:r>
          </w:p>
        </w:tc>
        <w:tc>
          <w:tcPr>
            <w:tcW w:w="0" w:type="auto"/>
          </w:tcPr>
          <w:p w14:paraId="64AFF946" w14:textId="77777777" w:rsidR="0083430E" w:rsidRDefault="0083430E"/>
        </w:tc>
        <w:tc>
          <w:tcPr>
            <w:tcW w:w="0" w:type="auto"/>
          </w:tcPr>
          <w:p w14:paraId="4DFADF00" w14:textId="77777777" w:rsidR="0083430E" w:rsidRDefault="00BF6FC8">
            <w:r>
              <w:rPr>
                <w:color w:val="000000"/>
              </w:rPr>
              <w:t>X</w:t>
            </w:r>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r w:rsidRPr="0065684E">
              <w:rPr>
                <w:color w:val="000000"/>
                <w:lang w:val="en-GB"/>
              </w:rPr>
              <w:t>CMFO replacement with sensor re-integration</w:t>
            </w:r>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p>
        </w:tc>
        <w:tc>
          <w:tcPr>
            <w:tcW w:w="0" w:type="auto"/>
          </w:tcPr>
          <w:p w14:paraId="43ABEB35" w14:textId="77777777" w:rsidR="0083430E" w:rsidRDefault="00BF6FC8">
            <w:r>
              <w:rPr>
                <w:color w:val="000000"/>
              </w:rPr>
              <w:t>X</w:t>
            </w:r>
          </w:p>
        </w:tc>
        <w:tc>
          <w:tcPr>
            <w:tcW w:w="0" w:type="auto"/>
          </w:tcPr>
          <w:p w14:paraId="356B2214" w14:textId="77777777" w:rsidR="0083430E" w:rsidRDefault="0083430E"/>
        </w:tc>
        <w:tc>
          <w:tcPr>
            <w:tcW w:w="0" w:type="auto"/>
          </w:tcPr>
          <w:p w14:paraId="6A071A3A" w14:textId="77777777" w:rsidR="0083430E" w:rsidRDefault="00BF6FC8">
            <w:r>
              <w:rPr>
                <w:color w:val="000000"/>
              </w:rPr>
              <w:t>X</w:t>
            </w:r>
          </w:p>
        </w:tc>
        <w:tc>
          <w:tcPr>
            <w:tcW w:w="0" w:type="auto"/>
          </w:tcPr>
          <w:p w14:paraId="2D860F6B" w14:textId="77777777" w:rsidR="0083430E" w:rsidRDefault="0083430E"/>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pPr/>
            <w:r>
              <w:rPr/>
              <w:t>X</w:t>
            </w:r>
          </w:p>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r>
              <w:rPr>
                <w:color w:val="000000"/>
              </w:rPr>
              <w:t>X</w:t>
            </w:r>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Orthotimer readout and battery replacement</w:t>
            </w:r>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sdt>
              <w:sdtPr>
                <w:tag w:val="CITATION MonteiroSoaresM20"/>
                <w:id w:val="1557030269"/>
                <w:citation/>
              </w:sdtPr>
              <w:sdtEndPr/>
              <w:sdtContent>
                <w:r>
                  <w:fldChar w:fldCharType="begin"/>
                </w:r>
                <w:r w:rsidRPr="0065684E">
                  <w:rPr>
                    <w:lang w:val="en-GB"/>
                  </w:rPr>
                  <w:instrText xml:space="preserve"> CITATION MonteiroSoaresM20 \l 1033 </w:instrText>
                </w:r>
                <w:r>
                  <w:fldChar w:fldCharType="separate"/>
                </w:r>
                <w:r w:rsidRPr="0065684E">
                  <w:rPr>
                    <w:noProof/>
                    <w:lang w:val="en-GB"/>
                  </w:rPr>
                  <w:t>(73)</w:t>
                </w:r>
                <w:r>
                  <w:fldChar w:fldCharType="end"/>
                </w:r>
              </w:sdtContent>
            </w:sdt>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r>
              <w:rPr>
                <w:color w:val="000000"/>
              </w:rPr>
              <w:t>Baseline, 6, 12 and 18 months</w:t>
            </w:r>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(74)</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(75)</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sdt>
              <w:sdtPr>
                <w:tag w:val="CITATION McDermottK22"/>
                <w:id w:val="1095446143"/>
                <w:citation/>
              </w:sdtPr>
              <w:sdtEndPr/>
              <w:sdtContent>
                <w:r>
                  <w:fldChar w:fldCharType="begin"/>
                </w:r>
                <w:r>
                  <w:instrText xml:space="preserve"> CITATION McDermottK22 \p 212 \l 1033 </w:instrText>
                </w:r>
                <w:r>
                  <w:fldChar w:fldCharType="separate"/>
                </w:r>
                <w:r>
                  <w:rPr>
                    <w:noProof/>
                  </w:rPr>
                  <w:t>(33)</w:t>
                </w:r>
                <w:r>
                  <w:fldChar w:fldCharType="end"/>
                </w:r>
              </w:sdtContent>
            </w:sdt>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In-shoe plantar pressure (Novel Pedar; ≥12 mid-gait steps per foot, self-selected comfortable speed maintained within 5% at follow-up, standardised thin cotton socks).</w:t>
            </w:r>
          </w:p>
        </w:tc>
        <w:tc>
          <w:tcPr>
            <w:tcW w:w="0" w:type="auto"/>
          </w:tcPr>
          <w:p w14:paraId="729CA641" w14:textId="77777777" w:rsidR="0083430E" w:rsidRDefault="00BF6FC8">
            <w:r>
              <w:rPr>
                <w:color w:val="000000"/>
              </w:rPr>
              <w:t>Study team</w:t>
            </w:r>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Delivery of the manufactured orthosis; integration of the Orthotimer adherence sensor; iterative pressure-guided adjustment to &lt;200 kPa or ≥25% reduction from baseline.</w:t>
            </w:r>
          </w:p>
        </w:tc>
        <w:tc>
          <w:tcPr>
            <w:tcW w:w="0" w:type="auto"/>
          </w:tcPr>
          <w:p w14:paraId="7BB3AE78" w14:textId="77777777" w:rsidR="0083430E" w:rsidRDefault="00BF6FC8">
            <w:r>
              <w:rPr>
                <w:color w:val="000000"/>
              </w:rPr>
              <w:t>Study team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r>
              <w:rPr>
                <w:color w:val="000000"/>
              </w:rPr>
              <w:t>6 and 12 months</w:t>
            </w:r>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r>
              <w:rPr>
                <w:color w:val="000000"/>
              </w:rPr>
              <w:t>9 and 15 months</w:t>
            </w:r>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Participant-worn; read out by study team</w:t>
            </w:r>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r>
              <w:rPr>
                <w:color w:val="000000"/>
              </w:rPr>
              <w:t>CMFO replacement</w:t>
            </w:r>
          </w:p>
        </w:tc>
        <w:tc>
          <w:tcPr>
            <w:tcW w:w="0" w:type="auto"/>
          </w:tcPr>
          <w:p w14:paraId="3BBDD81B" w14:textId="77777777" w:rsidR="0083430E" w:rsidRPr="0065684E" w:rsidRDefault="00BF6FC8">
            <w:pPr>
              <w:rPr>
                <w:lang w:val="en-GB"/>
              </w:rPr>
            </w:pPr>
            <w:r w:rsidRPr="0065684E">
              <w:rPr>
                <w:color w:val="000000"/>
                <w:lang w:val="en-GB"/>
              </w:rPr>
              <w:t>Replacement of the orthosis with sensor re-integration at the scheduled follow-up visits.</w:t>
            </w:r>
          </w:p>
        </w:tc>
        <w:tc>
          <w:tcPr>
            <w:tcW w:w="0" w:type="auto"/>
          </w:tcPr>
          <w:p w14:paraId="7D185FE4" w14:textId="77777777" w:rsidR="0083430E" w:rsidRDefault="00BF6FC8">
            <w:r>
              <w:rPr>
                <w:color w:val="000000"/>
              </w:rPr>
              <w:t>Study team / pedorthist</w:t>
            </w:r>
          </w:p>
        </w:tc>
        <w:tc>
          <w:tcPr>
            <w:tcW w:w="0" w:type="auto"/>
          </w:tcPr>
          <w:p w14:paraId="2B23B719" w14:textId="77777777" w:rsidR="0083430E" w:rsidRDefault="00BF6FC8">
            <w:r>
              <w:rPr>
                <w:color w:val="000000"/>
              </w:rPr>
              <w:t>6, 12 and 18 months</w:t>
            </w:r>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17.</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18.</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8D6384C" w14:textId="77777777" w:rsidR="001C7538" w:rsidRPr="001C7538" w:rsidRDefault="001C7538" w:rsidP="001C7538">
      <w:pPr>
        <w:pStyle w:val="JenniRefBody"/>
        <w:spacing w:line="240" w:lineRule="auto"/>
        <w:ind w:left="720" w:hanging="720"/>
      </w:pPr>
      <w:r w:rsidRPr="001C7538">
        <w:t>19.</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lang w:val="de-DE"/>
        </w:rPr>
      </w:pPr>
      <w:r w:rsidRPr="001C7538">
        <w:rPr>
          <w:lang w:val="de-DE"/>
        </w:rPr>
        <w:t>33.</w:t>
      </w:r>
    </w:p>
    <w:p w14:paraId="19A1634C" w14:textId="3548A966" w:rsidR="001C7538" w:rsidRPr="001C7538" w:rsidRDefault="001C7538" w:rsidP="001C7538">
      <w:pPr>
        <w:pStyle w:val="JenniRefBody"/>
        <w:spacing w:line="240" w:lineRule="auto"/>
        <w:ind w:left="720" w:hanging="720"/>
      </w:pPr>
      <w:r w:rsidRPr="001C7538">
        <w:rPr>
          <w:lang w:val="de-DE"/>
        </w:rPr>
        <w:t xml:space="preserve">McDermott KM, Fang M, Boulton AJM, Selvin E, Hicks CW. </w:t>
      </w:r>
      <w:proofErr w:type="spellStart"/>
      <w:r w:rsidRPr="001C7538">
        <w:rPr>
          <w:lang w:val="en-GB"/>
        </w:rPr>
        <w:t>Etiology</w:t>
      </w:r>
      <w:proofErr w:type="spellEnd"/>
      <w:r w:rsidRPr="001C7538">
        <w:rPr>
          <w:lang w:val="en-GB"/>
        </w:rPr>
        <w:t xml:space="preserve">, Epidemiology, and Disparities in the Burden of Diabetic Foot Ulcers. </w:t>
      </w:r>
      <w:r w:rsidRPr="001C7538">
        <w:t>Diabetes Care [Internet]. 2022 Dec 22 [</w:t>
      </w:r>
      <w:proofErr w:type="spellStart"/>
      <w:r w:rsidRPr="001C7538">
        <w:t>cited</w:t>
      </w:r>
      <w:proofErr w:type="spellEnd"/>
      <w:r w:rsidRPr="001C7538">
        <w:t xml:space="preserve"> 2026 Mar];46(1):209–21. Available </w:t>
      </w:r>
      <w:proofErr w:type="spellStart"/>
      <w:r w:rsidRPr="001C7538">
        <w:t>from</w:t>
      </w:r>
      <w:proofErr w:type="spellEnd"/>
      <w:r w:rsidRPr="001C7538">
        <w:t xml:space="preserve">: </w:t>
      </w:r>
      <w:hyperlink r:id="rId40" w:tgtFrame="_blank" w:history="1">
        <w:r w:rsidRPr="001C7538">
          <w:rPr>
            <w:rStyle w:val="Hyperlink"/>
          </w:rPr>
          <w:t>https://doi.org/10.2337/dci22-0043</w:t>
        </w:r>
      </w:hyperlink>
    </w:p>
    <w:p w14:paraId="5F6B1EF1" w14:textId="77777777" w:rsidR="001C7538" w:rsidRPr="001C7538" w:rsidRDefault="001C7538" w:rsidP="001C7538">
      <w:pPr>
        <w:pStyle w:val="JenniRefBody"/>
        <w:spacing w:line="240" w:lineRule="auto"/>
        <w:ind w:left="720" w:hanging="720"/>
      </w:pPr>
      <w:r w:rsidRPr="001C7538">
        <w:t>34.</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35.</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36.</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37.</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38.</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39.</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40.</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41.</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lang w:val="en-GB"/>
        </w:rPr>
      </w:pPr>
      <w:r w:rsidRPr="001C7538">
        <w:rPr>
          <w:lang w:val="en-GB"/>
        </w:rPr>
        <w:t>42.</w:t>
      </w:r>
    </w:p>
    <w:p w14:paraId="76991020" w14:textId="0BBA404B" w:rsidR="001C7538" w:rsidRPr="001C7538" w:rsidRDefault="001C7538" w:rsidP="001C7538">
      <w:pPr>
        <w:pStyle w:val="JenniRefBody"/>
        <w:spacing w:line="240" w:lineRule="auto"/>
        <w:ind w:left="720" w:hanging="720"/>
        <w:rPr>
          <w:lang w:val="en-GB"/>
        </w:rPr>
      </w:pPr>
      <w:proofErr w:type="spellStart"/>
      <w:r w:rsidRPr="001C7538">
        <w:rPr>
          <w:lang w:val="en-GB"/>
        </w:rPr>
        <w:t>Benfatto</w:t>
      </w:r>
      <w:proofErr w:type="spellEnd"/>
      <w:r w:rsidRPr="001C7538">
        <w:rPr>
          <w:lang w:val="en-GB"/>
        </w:rPr>
        <w:t xml:space="preserve"> G, Group R, Longo L, Mansueto S, Gozzo L, Vitale DC, et al. Regulatory, scientific, and ethical issues arising from institutional activity in one of the 90 Italian Research Ethics Committees. BMC Medical Ethics [Internet]. 2021 Apr 7 [cited 2026 Jan];22(1):40. Available from: </w:t>
      </w:r>
      <w:hyperlink r:id="rId49" w:tgtFrame="_blank" w:history="1">
        <w:r w:rsidRPr="001C7538">
          <w:rPr>
            <w:rStyle w:val="Hyperlink"/>
            <w:lang w:val="en-GB"/>
          </w:rPr>
          <w:t>https://doi.org/10.1186/s12910-021-00605-7</w:t>
        </w:r>
      </w:hyperlink>
    </w:p>
    <w:p w14:paraId="690CA3FE" w14:textId="77777777" w:rsidR="001C7538" w:rsidRPr="001C7538" w:rsidRDefault="001C7538" w:rsidP="001C7538">
      <w:pPr>
        <w:pStyle w:val="JenniRefBody"/>
        <w:spacing w:line="240" w:lineRule="auto"/>
        <w:ind w:left="720" w:hanging="720"/>
      </w:pPr>
      <w:r w:rsidRPr="001C7538">
        <w:t>43.</w:t>
      </w:r>
    </w:p>
    <w:p w14:paraId="7AED8068" w14:textId="03413D8A" w:rsidR="001C7538" w:rsidRPr="001C7538" w:rsidRDefault="001C7538" w:rsidP="001C7538">
      <w:pPr>
        <w:pStyle w:val="JenniRefBody"/>
        <w:spacing w:line="240" w:lineRule="auto"/>
        <w:ind w:left="720" w:hanging="720"/>
        <w:rPr>
          <w:lang w:val="en-GB"/>
        </w:rPr>
      </w:pPr>
      <w:r w:rsidRPr="001C7538">
        <w:t xml:space="preserve">Stegge WB aan de, </w:t>
      </w:r>
      <w:proofErr w:type="spellStart"/>
      <w:r w:rsidRPr="001C7538">
        <w:t>Mejaiti</w:t>
      </w:r>
      <w:proofErr w:type="spellEnd"/>
      <w:r w:rsidRPr="001C7538">
        <w:t xml:space="preserve"> N, Netten JJ van, Dijkgraaf MGW, Baal JG van, Busch‐Westbroek TE, et al. </w:t>
      </w:r>
      <w:r w:rsidRPr="001C7538">
        <w:rPr>
          <w:lang w:val="en-GB"/>
        </w:rPr>
        <w: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t>
      </w:r>
      <w:hyperlink r:id="rId50" w:tgtFrame="_blank" w:history="1">
        <w:r w:rsidRPr="001C7538">
          <w:rPr>
            <w:rStyle w:val="Hyperlink"/>
            <w:lang w:val="en-GB"/>
          </w:rPr>
          <w:t>https://doi.org/10.1186/s13063-018-2890-2</w:t>
        </w:r>
      </w:hyperlink>
    </w:p>
    <w:p w14:paraId="04640CD9" w14:textId="77777777" w:rsidR="001C7538" w:rsidRPr="001C7538" w:rsidRDefault="001C7538" w:rsidP="001C7538">
      <w:pPr>
        <w:pStyle w:val="JenniRefBody"/>
        <w:spacing w:line="240" w:lineRule="auto"/>
        <w:ind w:left="720" w:hanging="720"/>
        <w:rPr>
          <w:lang w:val="en-GB"/>
        </w:rPr>
      </w:pPr>
      <w:r w:rsidRPr="001C7538">
        <w:rPr>
          <w:lang w:val="en-GB"/>
        </w:rPr>
        <w:t>44.</w:t>
      </w:r>
    </w:p>
    <w:p w14:paraId="721D44F1" w14:textId="78E284C3" w:rsidR="001C7538" w:rsidRPr="001C7538" w:rsidRDefault="001C7538" w:rsidP="001C7538">
      <w:pPr>
        <w:pStyle w:val="JenniRefBody"/>
        <w:spacing w:line="240" w:lineRule="auto"/>
        <w:ind w:left="720" w:hanging="720"/>
        <w:rPr>
          <w:lang w:val="en-GB"/>
        </w:rPr>
      </w:pPr>
      <w:r w:rsidRPr="001C7538">
        <w:rPr>
          <w:lang w:val="en-GB"/>
        </w:rPr>
        <w:t xml:space="preserve">Bhatt A. The revamped Good Clinical Practice E6(R3) guideline: Profound changes in principles and practice! PubMed Central [Internet]. 2023 Oct 1 [cited 2025 Nov];14(4):167–71. Available from: </w:t>
      </w:r>
      <w:hyperlink r:id="rId51" w:tgtFrame="_blank" w:history="1">
        <w:r w:rsidRPr="001C7538">
          <w:rPr>
            <w:rStyle w:val="Hyperlink"/>
            <w:lang w:val="en-GB"/>
          </w:rPr>
          <w:t>https://www.ncbi.nlm.nih.gov/pmc/articles/10679570</w:t>
        </w:r>
      </w:hyperlink>
    </w:p>
    <w:p w14:paraId="67EABAAC" w14:textId="77777777" w:rsidR="001C7538" w:rsidRPr="001C7538" w:rsidRDefault="001C7538" w:rsidP="001C7538">
      <w:pPr>
        <w:pStyle w:val="JenniRefBody"/>
        <w:spacing w:line="240" w:lineRule="auto"/>
        <w:ind w:left="720" w:hanging="720"/>
        <w:rPr>
          <w:lang w:val="en-GB"/>
        </w:rPr>
      </w:pPr>
      <w:r w:rsidRPr="001C7538">
        <w:rPr>
          <w:lang w:val="en-GB"/>
        </w:rPr>
        <w:t>45.</w:t>
      </w:r>
    </w:p>
    <w:p w14:paraId="615933F4" w14:textId="250C1E6F" w:rsidR="001C7538" w:rsidRPr="001C7538" w:rsidRDefault="001C7538" w:rsidP="001C7538">
      <w:pPr>
        <w:pStyle w:val="JenniRefBody"/>
        <w:spacing w:line="240" w:lineRule="auto"/>
        <w:ind w:left="720" w:hanging="720"/>
        <w:rPr>
          <w:lang w:val="en-GB"/>
        </w:rPr>
      </w:pPr>
      <w:r w:rsidRPr="001C7538">
        <w:rPr>
          <w:lang w:val="en-GB"/>
        </w:rPr>
        <w:t xml:space="preserve">Fraser AG, </w:t>
      </w:r>
      <w:proofErr w:type="spellStart"/>
      <w:r w:rsidRPr="001C7538">
        <w:rPr>
          <w:lang w:val="en-GB"/>
        </w:rPr>
        <w:t>Biasin</w:t>
      </w:r>
      <w:proofErr w:type="spellEnd"/>
      <w:r w:rsidRPr="001C7538">
        <w:rPr>
          <w:lang w:val="en-GB"/>
        </w:rPr>
        <w:t xml:space="preserve"> E, </w:t>
      </w:r>
      <w:proofErr w:type="spellStart"/>
      <w:r w:rsidRPr="001C7538">
        <w:rPr>
          <w:lang w:val="en-GB"/>
        </w:rPr>
        <w:t>Bijnens</w:t>
      </w:r>
      <w:proofErr w:type="spellEnd"/>
      <w:r w:rsidRPr="001C7538">
        <w:rPr>
          <w:lang w:val="en-GB"/>
        </w:rPr>
        <w:t xml:space="preserve"> B, Bruining N, </w:t>
      </w:r>
      <w:proofErr w:type="spellStart"/>
      <w:r w:rsidRPr="001C7538">
        <w:rPr>
          <w:lang w:val="en-GB"/>
        </w:rPr>
        <w:t>Caiani</w:t>
      </w:r>
      <w:proofErr w:type="spellEnd"/>
      <w:r w:rsidRPr="001C7538">
        <w:rPr>
          <w:lang w:val="en-GB"/>
        </w:rPr>
        <w:t xml:space="preserve"> EG, </w:t>
      </w:r>
      <w:proofErr w:type="spellStart"/>
      <w:r w:rsidRPr="001C7538">
        <w:rPr>
          <w:lang w:val="en-GB"/>
        </w:rPr>
        <w:t>Cobbaert</w:t>
      </w:r>
      <w:proofErr w:type="spellEnd"/>
      <w:r w:rsidRPr="001C7538">
        <w:rPr>
          <w:lang w:val="en-GB"/>
        </w:rPr>
        <w:t xml:space="preserve"> K, et al. Artificial intelligence in medical device software and high-risk medical devices – a review of definitions, expert recommendations and regulatory initiatives. 2023 May 8 [cited 2026 June]; Available from: </w:t>
      </w:r>
      <w:hyperlink r:id="rId52" w:tgtFrame="_blank" w:history="1">
        <w:r w:rsidRPr="001C7538">
          <w:rPr>
            <w:rStyle w:val="Hyperlink"/>
            <w:lang w:val="en-GB"/>
          </w:rPr>
          <w:t>https://doi.org/10.1080/17434440.2023.2184685</w:t>
        </w:r>
      </w:hyperlink>
    </w:p>
    <w:p w14:paraId="362B07CF" w14:textId="77777777" w:rsidR="001C7538" w:rsidRPr="001C7538" w:rsidRDefault="001C7538" w:rsidP="001C7538">
      <w:pPr>
        <w:pStyle w:val="JenniRefBody"/>
        <w:spacing w:line="240" w:lineRule="auto"/>
        <w:ind w:left="720" w:hanging="720"/>
        <w:rPr>
          <w:lang w:val="en-GB"/>
        </w:rPr>
      </w:pPr>
      <w:r w:rsidRPr="001C7538">
        <w:rPr>
          <w:lang w:val="en-GB"/>
        </w:rPr>
        <w:t>46.</w:t>
      </w:r>
    </w:p>
    <w:p w14:paraId="019038DF" w14:textId="5CF860F7" w:rsidR="001C7538" w:rsidRPr="001C7538" w:rsidRDefault="001C7538" w:rsidP="001C7538">
      <w:pPr>
        <w:pStyle w:val="JenniRefBody"/>
        <w:spacing w:line="240" w:lineRule="auto"/>
        <w:ind w:left="720" w:hanging="720"/>
        <w:rPr>
          <w:lang w:val="en-GB"/>
        </w:rPr>
      </w:pPr>
      <w:r w:rsidRPr="001C7538">
        <w:rPr>
          <w:lang w:val="en-GB"/>
        </w:rPr>
        <w: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t>
      </w:r>
      <w:hyperlink r:id="rId53" w:tgtFrame="_blank" w:history="1">
        <w:r w:rsidRPr="001C7538">
          <w:rPr>
            <w:rStyle w:val="Hyperlink"/>
            <w:lang w:val="en-GB"/>
          </w:rPr>
          <w:t>https://doi.org/10.1186/s13063-019-3479-0</w:t>
        </w:r>
      </w:hyperlink>
    </w:p>
    <w:p w14:paraId="14E2676E" w14:textId="77777777" w:rsidR="001C7538" w:rsidRPr="001C7538" w:rsidRDefault="001C7538" w:rsidP="001C7538">
      <w:pPr>
        <w:pStyle w:val="JenniRefBody"/>
        <w:spacing w:line="240" w:lineRule="auto"/>
        <w:ind w:left="720" w:hanging="720"/>
        <w:rPr>
          <w:lang w:val="en-GB"/>
        </w:rPr>
      </w:pPr>
      <w:r w:rsidRPr="001C7538">
        <w:rPr>
          <w:lang w:val="en-GB"/>
        </w:rPr>
        <w:t>47.</w:t>
      </w:r>
    </w:p>
    <w:p w14:paraId="3017C57F" w14:textId="3FACB900" w:rsidR="001C7538" w:rsidRPr="001C7538" w:rsidRDefault="001C7538" w:rsidP="001C7538">
      <w:pPr>
        <w:pStyle w:val="JenniRefBody"/>
        <w:spacing w:line="240" w:lineRule="auto"/>
        <w:ind w:left="720" w:hanging="720"/>
        <w:rPr>
          <w:lang w:val="en-GB"/>
        </w:rPr>
      </w:pPr>
      <w:proofErr w:type="spellStart"/>
      <w:r w:rsidRPr="001C7538">
        <w:rPr>
          <w:lang w:val="en-GB"/>
        </w:rPr>
        <w:t>Manchikanti</w:t>
      </w:r>
      <w:proofErr w:type="spellEnd"/>
      <w:r w:rsidRPr="001C7538">
        <w:rPr>
          <w:lang w:val="en-GB"/>
        </w:rPr>
        <w:t xml:space="preserve"> L. Protocol for Evaluation of the </w:t>
      </w:r>
      <w:proofErr w:type="spellStart"/>
      <w:r w:rsidRPr="001C7538">
        <w:rPr>
          <w:lang w:val="en-GB"/>
        </w:rPr>
        <w:t>ComparativeEffectiveness</w:t>
      </w:r>
      <w:proofErr w:type="spellEnd"/>
      <w:r w:rsidRPr="001C7538">
        <w:rPr>
          <w:lang w:val="en-GB"/>
        </w:rPr>
        <w:t xml:space="preserve"> of Percutaneous </w:t>
      </w:r>
      <w:proofErr w:type="spellStart"/>
      <w:r w:rsidRPr="001C7538">
        <w:rPr>
          <w:lang w:val="en-GB"/>
        </w:rPr>
        <w:t>Adhesiolysisand</w:t>
      </w:r>
      <w:proofErr w:type="spellEnd"/>
      <w:r w:rsidRPr="001C7538">
        <w:rPr>
          <w:lang w:val="en-GB"/>
        </w:rPr>
        <w:t xml:space="preserve"> Caudal Epidural Steroid Injections in </w:t>
      </w:r>
      <w:proofErr w:type="spellStart"/>
      <w:r w:rsidRPr="001C7538">
        <w:rPr>
          <w:lang w:val="en-GB"/>
        </w:rPr>
        <w:t>LowBack</w:t>
      </w:r>
      <w:proofErr w:type="spellEnd"/>
      <w:r w:rsidRPr="001C7538">
        <w:rPr>
          <w:lang w:val="en-GB"/>
        </w:rPr>
        <w:t xml:space="preserve"> and/or Lower Extremity Pain without </w:t>
      </w:r>
      <w:proofErr w:type="spellStart"/>
      <w:r w:rsidRPr="001C7538">
        <w:rPr>
          <w:lang w:val="en-GB"/>
        </w:rPr>
        <w:t>PostSurgery</w:t>
      </w:r>
      <w:proofErr w:type="spellEnd"/>
      <w:r w:rsidRPr="001C7538">
        <w:rPr>
          <w:lang w:val="en-GB"/>
        </w:rPr>
        <w:t xml:space="preserve"> Syndrome or Spinal Stenosis. Pain Physician [Internet]. 2010 Mar 14 [cited 2025 Nov]; Available from: </w:t>
      </w:r>
      <w:hyperlink r:id="rId54" w:tgtFrame="_blank" w:history="1">
        <w:r w:rsidRPr="001C7538">
          <w:rPr>
            <w:rStyle w:val="Hyperlink"/>
            <w:lang w:val="en-GB"/>
          </w:rPr>
          <w:t>https://doi.org/10.36076/ppj.2010/13/e91</w:t>
        </w:r>
      </w:hyperlink>
    </w:p>
    <w:p w14:paraId="1B007766" w14:textId="77777777" w:rsidR="001C7538" w:rsidRPr="001C7538" w:rsidRDefault="001C7538" w:rsidP="001C7538">
      <w:pPr>
        <w:pStyle w:val="JenniRefBody"/>
        <w:spacing w:line="240" w:lineRule="auto"/>
        <w:ind w:left="720" w:hanging="720"/>
        <w:rPr>
          <w:lang w:val="en-GB"/>
        </w:rPr>
      </w:pPr>
      <w:r w:rsidRPr="001C7538">
        <w:rPr>
          <w:lang w:val="en-GB"/>
        </w:rPr>
        <w:t>48.</w:t>
      </w:r>
    </w:p>
    <w:p w14:paraId="72D1CCB6" w14:textId="60420399" w:rsidR="001C7538" w:rsidRPr="001C7538" w:rsidRDefault="001C7538" w:rsidP="001C7538">
      <w:pPr>
        <w:pStyle w:val="JenniRefBody"/>
        <w:spacing w:line="240" w:lineRule="auto"/>
        <w:ind w:left="720" w:hanging="720"/>
        <w:rPr>
          <w:lang w:val="en-GB"/>
        </w:rPr>
      </w:pPr>
      <w:r w:rsidRPr="001C7538">
        <w:rPr>
          <w:lang w:val="en-GB"/>
        </w:rPr>
        <w:t xml:space="preserve">Jovičić S, </w:t>
      </w:r>
      <w:proofErr w:type="spellStart"/>
      <w:r w:rsidRPr="001C7538">
        <w:rPr>
          <w:lang w:val="en-GB"/>
        </w:rPr>
        <w:t>Siódmiak</w:t>
      </w:r>
      <w:proofErr w:type="spellEnd"/>
      <w:r w:rsidRPr="001C7538">
        <w:rPr>
          <w:lang w:val="en-GB"/>
        </w:rPr>
        <w: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t>
      </w:r>
      <w:hyperlink r:id="rId55" w:tgtFrame="_blank" w:history="1">
        <w:r w:rsidRPr="001C7538">
          <w:rPr>
            <w:rStyle w:val="Hyperlink"/>
            <w:lang w:val="en-GB"/>
          </w:rPr>
          <w:t>https://doi.org/10.1515/cclm-2020-0869</w:t>
        </w:r>
      </w:hyperlink>
    </w:p>
    <w:p w14:paraId="75A74671" w14:textId="77777777" w:rsidR="001C7538" w:rsidRPr="001C7538" w:rsidRDefault="001C7538" w:rsidP="001C7538">
      <w:pPr>
        <w:pStyle w:val="JenniRefBody"/>
        <w:spacing w:line="240" w:lineRule="auto"/>
        <w:ind w:left="720" w:hanging="720"/>
        <w:rPr>
          <w:lang w:val="en-GB"/>
        </w:rPr>
      </w:pPr>
      <w:r w:rsidRPr="001C7538">
        <w:rPr>
          <w:lang w:val="en-GB"/>
        </w:rPr>
        <w:lastRenderedPageBreak/>
        <w:t>49.</w:t>
      </w:r>
    </w:p>
    <w:p w14:paraId="00B649E1" w14:textId="5F90F32D" w:rsidR="001C7538" w:rsidRPr="001C7538" w:rsidRDefault="001C7538" w:rsidP="001C7538">
      <w:pPr>
        <w:pStyle w:val="JenniRefBody"/>
        <w:spacing w:line="240" w:lineRule="auto"/>
        <w:ind w:left="720" w:hanging="720"/>
        <w:rPr>
          <w:lang w:val="en-GB"/>
        </w:rPr>
      </w:pPr>
      <w:r w:rsidRPr="001C7538">
        <w:rPr>
          <w:lang w:val="en-GB"/>
        </w:rPr>
        <w:t xml:space="preserve">Visser MM, </w:t>
      </w:r>
      <w:proofErr w:type="spellStart"/>
      <w:r w:rsidRPr="001C7538">
        <w:rPr>
          <w:lang w:val="en-GB"/>
        </w:rPr>
        <w:t>Charleer</w:t>
      </w:r>
      <w:proofErr w:type="spellEnd"/>
      <w:r w:rsidRPr="001C7538">
        <w:rPr>
          <w:lang w:val="en-GB"/>
        </w:rPr>
        <w:t xml:space="preserve"> S, </w:t>
      </w:r>
      <w:proofErr w:type="spellStart"/>
      <w:r w:rsidRPr="001C7538">
        <w:rPr>
          <w:lang w:val="en-GB"/>
        </w:rPr>
        <w:t>Fieuws</w:t>
      </w:r>
      <w:proofErr w:type="spellEnd"/>
      <w:r w:rsidRPr="001C7538">
        <w:rPr>
          <w:lang w:val="en-GB"/>
        </w:rPr>
        <w: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t>
      </w:r>
      <w:hyperlink r:id="rId56" w:tgtFrame="_blank" w:history="1">
        <w:r w:rsidRPr="001C7538">
          <w:rPr>
            <w:rStyle w:val="Hyperlink"/>
            <w:lang w:val="en-GB"/>
          </w:rPr>
          <w:t>https://doi.org/10.1016/s0140-6736(21)00789-3</w:t>
        </w:r>
      </w:hyperlink>
    </w:p>
    <w:p w14:paraId="6C3CF588" w14:textId="77777777" w:rsidR="001C7538" w:rsidRPr="001C7538" w:rsidRDefault="001C7538" w:rsidP="001C7538">
      <w:pPr>
        <w:pStyle w:val="JenniRefBody"/>
        <w:spacing w:line="240" w:lineRule="auto"/>
        <w:ind w:left="720" w:hanging="720"/>
        <w:rPr>
          <w:lang w:val="en-GB"/>
        </w:rPr>
      </w:pPr>
      <w:r w:rsidRPr="001C7538">
        <w:rPr>
          <w:lang w:val="en-GB"/>
        </w:rPr>
        <w:t>50.</w:t>
      </w:r>
    </w:p>
    <w:p w14:paraId="30962CE9" w14:textId="56CDE315" w:rsidR="001C7538" w:rsidRPr="001C7538" w:rsidRDefault="001C7538" w:rsidP="001C7538">
      <w:pPr>
        <w:pStyle w:val="JenniRefBody"/>
        <w:spacing w:line="240" w:lineRule="auto"/>
        <w:ind w:left="720" w:hanging="720"/>
        <w:rPr>
          <w:lang w:val="en-GB"/>
        </w:rPr>
      </w:pPr>
      <w:r w:rsidRPr="001C7538">
        <w:rPr>
          <w:lang w:val="en-GB"/>
        </w:rPr>
        <w:t xml:space="preserve">Powell R, Hayward C, Snelgrove CL, </w:t>
      </w:r>
      <w:proofErr w:type="spellStart"/>
      <w:r w:rsidRPr="001C7538">
        <w:rPr>
          <w:lang w:val="en-GB"/>
        </w:rPr>
        <w:t>Polverino</w:t>
      </w:r>
      <w:proofErr w:type="spellEnd"/>
      <w:r w:rsidRPr="001C7538">
        <w:rPr>
          <w:lang w:val="en-GB"/>
        </w:rPr>
        <w:t xml:space="preserve"> K, Park L, Chauhan R, et al. Pilot parallel randomised controlled trial of protective socks against usual care to reduce skin tears in </w:t>
      </w:r>
      <w:proofErr w:type="gramStart"/>
      <w:r w:rsidRPr="001C7538">
        <w:rPr>
          <w:lang w:val="en-GB"/>
        </w:rPr>
        <w:t>high risk</w:t>
      </w:r>
      <w:proofErr w:type="gramEnd"/>
      <w:r w:rsidRPr="001C7538">
        <w:rPr>
          <w:lang w:val="en-GB"/>
        </w:rPr>
        <w:t xml:space="preserve"> people: ‘STOPCUTS.’ Pilot and Feasibility Studies [Internet]. 2017 Oct 4 [cited 2026 Jan];3(1):43. Available from: </w:t>
      </w:r>
      <w:hyperlink r:id="rId57" w:tgtFrame="_blank" w:history="1">
        <w:r w:rsidRPr="001C7538">
          <w:rPr>
            <w:rStyle w:val="Hyperlink"/>
            <w:lang w:val="en-GB"/>
          </w:rPr>
          <w:t>https://doi.org/10.1186/s40814-017-0182-3</w:t>
        </w:r>
      </w:hyperlink>
    </w:p>
    <w:p w14:paraId="0C45AF1B" w14:textId="77777777" w:rsidR="001C7538" w:rsidRPr="001C7538" w:rsidRDefault="001C7538" w:rsidP="001C7538">
      <w:pPr>
        <w:pStyle w:val="JenniRefBody"/>
        <w:spacing w:line="240" w:lineRule="auto"/>
        <w:ind w:left="720" w:hanging="720"/>
        <w:rPr>
          <w:lang w:val="en-GB"/>
        </w:rPr>
      </w:pPr>
      <w:r w:rsidRPr="001C7538">
        <w:rPr>
          <w:lang w:val="en-GB"/>
        </w:rPr>
        <w:t>51.</w:t>
      </w:r>
    </w:p>
    <w:p w14:paraId="1068439A" w14:textId="338D7F63" w:rsidR="001C7538" w:rsidRPr="001C7538" w:rsidRDefault="001C7538" w:rsidP="001C7538">
      <w:pPr>
        <w:pStyle w:val="JenniRefBody"/>
        <w:spacing w:line="240" w:lineRule="auto"/>
        <w:ind w:left="720" w:hanging="720"/>
        <w:rPr>
          <w:lang w:val="en-GB"/>
        </w:rPr>
      </w:pPr>
      <w:r w:rsidRPr="001C7538">
        <w:rPr>
          <w:lang w:val="en-GB"/>
        </w:rPr>
        <w:t xml:space="preserve">Steinbrook R. Compensation for Injured Research Subjects. New England Journal of Medicine [Internet]. 2006 May 3 [cited 2026 Jan];354(18):1871–3. Available from: </w:t>
      </w:r>
      <w:hyperlink r:id="rId58" w:tgtFrame="_blank" w:history="1">
        <w:r w:rsidRPr="001C7538">
          <w:rPr>
            <w:rStyle w:val="Hyperlink"/>
            <w:lang w:val="en-GB"/>
          </w:rPr>
          <w:t>https://doi.org/10.1056/nejmp068080</w:t>
        </w:r>
      </w:hyperlink>
    </w:p>
    <w:p w14:paraId="0AF62EFC" w14:textId="77777777" w:rsidR="001C7538" w:rsidRPr="001C7538" w:rsidRDefault="001C7538" w:rsidP="001C7538">
      <w:pPr>
        <w:pStyle w:val="JenniRefBody"/>
        <w:spacing w:line="240" w:lineRule="auto"/>
        <w:ind w:left="720" w:hanging="720"/>
        <w:rPr>
          <w:lang w:val="en-GB"/>
        </w:rPr>
      </w:pPr>
      <w:r w:rsidRPr="001C7538">
        <w:rPr>
          <w:lang w:val="en-GB"/>
        </w:rPr>
        <w:t>52.</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lang w:val="en-GB"/>
        </w:rPr>
      </w:pPr>
      <w:r w:rsidRPr="001C7538">
        <w:rPr>
          <w:lang w:val="en-GB"/>
        </w:rPr>
        <w:t>53.</w:t>
      </w:r>
    </w:p>
    <w:p w14:paraId="5B3D3150" w14:textId="3EA06215" w:rsidR="001C7538" w:rsidRPr="001C7538" w:rsidRDefault="001C7538" w:rsidP="001C7538">
      <w:pPr>
        <w:pStyle w:val="JenniRefBody"/>
        <w:spacing w:line="240" w:lineRule="auto"/>
        <w:ind w:left="720" w:hanging="720"/>
        <w:rPr>
          <w:lang w:val="en-GB"/>
        </w:rPr>
      </w:pPr>
      <w:r w:rsidRPr="001C7538">
        <w:rPr>
          <w:lang w:val="en-GB"/>
        </w:rPr>
        <w:t xml:space="preserve">Alfaro V, </w:t>
      </w:r>
      <w:proofErr w:type="spellStart"/>
      <w:r w:rsidRPr="001C7538">
        <w:rPr>
          <w:lang w:val="en-GB"/>
        </w:rPr>
        <w:t>Cullell</w:t>
      </w:r>
      <w:proofErr w:type="spellEnd"/>
      <w:r w:rsidRPr="001C7538">
        <w:rPr>
          <w:lang w:val="en-GB"/>
        </w:rPr>
        <w:t xml:space="preserve">-Young M, </w:t>
      </w:r>
      <w:proofErr w:type="spellStart"/>
      <w:r w:rsidRPr="001C7538">
        <w:rPr>
          <w:lang w:val="en-GB"/>
        </w:rPr>
        <w:t>Tanovı́c</w:t>
      </w:r>
      <w:proofErr w:type="spellEnd"/>
      <w:r w:rsidRPr="001C7538">
        <w:rPr>
          <w:lang w:val="en-GB"/>
        </w:rPr>
        <w:t xml:space="preserve"> A. Abbreviated Clinical Study Reports with Investigational Medicinal Products for Human Use: Current Guidelines and Recommendations. Croatian Medical Journal [Internet]. 2007 Dec 1 [cited 2026 Jan];48(6):871–7. Available from: </w:t>
      </w:r>
      <w:hyperlink r:id="rId60" w:tgtFrame="_blank" w:history="1">
        <w:r w:rsidRPr="001C7538">
          <w:rPr>
            <w:rStyle w:val="Hyperlink"/>
            <w:lang w:val="en-GB"/>
          </w:rPr>
          <w:t>https://doi.org/10.3325/cmj.2007.6.871</w:t>
        </w:r>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54.</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lang w:val="en-GB"/>
        </w:rPr>
      </w:pPr>
      <w:r w:rsidRPr="001C7538">
        <w:rPr>
          <w:lang w:val="en-GB"/>
        </w:rPr>
        <w:t>55.</w:t>
      </w:r>
    </w:p>
    <w:p w14:paraId="1D9FAB48" w14:textId="01406B95" w:rsidR="001C7538" w:rsidRPr="001C7538" w:rsidRDefault="001C7538" w:rsidP="001C7538">
      <w:pPr>
        <w:pStyle w:val="JenniRefBody"/>
        <w:spacing w:line="240" w:lineRule="auto"/>
        <w:ind w:left="720" w:hanging="720"/>
        <w:rPr>
          <w:lang w:val="en-GB"/>
        </w:rPr>
      </w:pPr>
      <w:r w:rsidRPr="001C7538">
        <w:rPr>
          <w:lang w:val="en-GB"/>
        </w:rPr>
        <w:t xml:space="preserve">Gonem S, </w:t>
      </w:r>
      <w:proofErr w:type="spellStart"/>
      <w:r w:rsidRPr="001C7538">
        <w:rPr>
          <w:lang w:val="en-GB"/>
        </w:rPr>
        <w:t>Berair</w:t>
      </w:r>
      <w:proofErr w:type="spellEnd"/>
      <w:r w:rsidRPr="001C7538">
        <w:rPr>
          <w:lang w:val="en-GB"/>
        </w:rPr>
        <w:t xml:space="preserve"> R, </w:t>
      </w:r>
      <w:proofErr w:type="spellStart"/>
      <w:r w:rsidRPr="001C7538">
        <w:rPr>
          <w:lang w:val="en-GB"/>
        </w:rPr>
        <w:t>Singapuri</w:t>
      </w:r>
      <w:proofErr w:type="spellEnd"/>
      <w:r w:rsidRPr="001C7538">
        <w:rPr>
          <w:lang w:val="en-GB"/>
        </w:rPr>
        <w:t xml:space="preserve"> A, Hartley R, Laurencin M, Bacher G, et al. </w:t>
      </w:r>
      <w:proofErr w:type="spellStart"/>
      <w:r w:rsidRPr="001C7538">
        <w:rPr>
          <w:lang w:val="en-GB"/>
        </w:rPr>
        <w:t>Fevipiprant</w:t>
      </w:r>
      <w:proofErr w:type="spellEnd"/>
      <w:r w:rsidRPr="001C7538">
        <w:rPr>
          <w:lang w:val="en-GB"/>
        </w:rPr>
        <w:t xml:space="preserve">, a prostaglandin D 2 receptor 2 antagonist, in patients with persistent eosinophilic asthma: a single-centre, randomised, double-blind, parallel-group, placebo-controlled trial. The Lancet Respiratory Medicine [Internet]. 2016 Aug 6 [cited 2026 Jan];4(9):699–707. Available from: </w:t>
      </w:r>
      <w:hyperlink r:id="rId62" w:tgtFrame="_blank" w:history="1">
        <w:r w:rsidRPr="001C7538">
          <w:rPr>
            <w:rStyle w:val="Hyperlink"/>
            <w:lang w:val="en-GB"/>
          </w:rPr>
          <w:t>https://doi.org/10.1016/s2213-2600(16)30179-5</w:t>
        </w:r>
      </w:hyperlink>
    </w:p>
    <w:p w14:paraId="117AB463" w14:textId="77777777" w:rsidR="001C7538" w:rsidRPr="001C7538" w:rsidRDefault="001C7538" w:rsidP="001C7538">
      <w:pPr>
        <w:pStyle w:val="JenniRefBody"/>
        <w:spacing w:line="240" w:lineRule="auto"/>
        <w:ind w:left="720" w:hanging="720"/>
        <w:rPr>
          <w:lang w:val="fr-FR"/>
        </w:rPr>
      </w:pPr>
      <w:r w:rsidRPr="001C7538">
        <w:rPr>
          <w:lang w:val="fr-FR"/>
        </w:rPr>
        <w:t>56.</w:t>
      </w:r>
    </w:p>
    <w:p w14:paraId="28CC4169" w14:textId="1F6BDBF8" w:rsidR="001C7538" w:rsidRPr="001C7538" w:rsidRDefault="001C7538" w:rsidP="001C7538">
      <w:pPr>
        <w:pStyle w:val="JenniRefBody"/>
        <w:spacing w:line="240" w:lineRule="auto"/>
        <w:ind w:left="720" w:hanging="720"/>
        <w:rPr>
          <w:lang w:val="en-GB"/>
        </w:rPr>
      </w:pPr>
      <w:r w:rsidRPr="001C7538">
        <w:rPr>
          <w:lang w:val="fr-FR"/>
        </w:rPr>
        <w:t xml:space="preserve">Bus SA, Armstrong DG, Deursen RWMV, Lewis J, </w:t>
      </w:r>
      <w:proofErr w:type="spellStart"/>
      <w:r w:rsidRPr="001C7538">
        <w:rPr>
          <w:lang w:val="fr-FR"/>
        </w:rPr>
        <w:t>Caravaggi</w:t>
      </w:r>
      <w:proofErr w:type="spellEnd"/>
      <w:r w:rsidRPr="001C7538">
        <w:rPr>
          <w:lang w:val="fr-FR"/>
        </w:rPr>
        <w:t xml:space="preserve"> C, Cavanagh PR, et al. </w:t>
      </w:r>
      <w:r w:rsidRPr="001C7538">
        <w:rPr>
          <w:lang w:val="en-GB"/>
        </w:rPr>
        <w:t>IWGDF guidance on footwear and offloading interventions to prevent and heal foot ulcers in patients with diabetes. Diabetes/Metabolism Research and Reviews [Internet]. 2015 Sept 3 [cited 2025 Nov</w:t>
      </w:r>
      <w:proofErr w:type="gramStart"/>
      <w:r w:rsidRPr="001C7538">
        <w:rPr>
          <w:lang w:val="en-GB"/>
        </w:rPr>
        <w:t>];32:25</w:t>
      </w:r>
      <w:proofErr w:type="gramEnd"/>
      <w:r w:rsidRPr="001C7538">
        <w:rPr>
          <w:lang w:val="en-GB"/>
        </w:rPr>
        <w:t xml:space="preserve">–36. Available from: </w:t>
      </w:r>
      <w:hyperlink r:id="rId63" w:tgtFrame="_blank" w:history="1">
        <w:r w:rsidRPr="001C7538">
          <w:rPr>
            <w:rStyle w:val="Hyperlink"/>
            <w:lang w:val="en-GB"/>
          </w:rPr>
          <w:t>https://doi.org/10.1002/dmrr.2697</w:t>
        </w:r>
      </w:hyperlink>
    </w:p>
    <w:p w14:paraId="3EF62B0B" w14:textId="77777777" w:rsidR="001C7538" w:rsidRPr="001C7538" w:rsidRDefault="001C7538" w:rsidP="001C7538">
      <w:pPr>
        <w:pStyle w:val="JenniRefBody"/>
        <w:spacing w:line="240" w:lineRule="auto"/>
        <w:ind w:left="720" w:hanging="720"/>
        <w:rPr>
          <w:lang w:val="en-GB"/>
        </w:rPr>
      </w:pPr>
      <w:r w:rsidRPr="001C7538">
        <w:rPr>
          <w:lang w:val="en-GB"/>
        </w:rPr>
        <w:t>57.</w:t>
      </w:r>
    </w:p>
    <w:p w14:paraId="55A2C852" w14:textId="07E26C5A" w:rsidR="001C7538" w:rsidRPr="001C7538" w:rsidRDefault="001C7538" w:rsidP="001C7538">
      <w:pPr>
        <w:pStyle w:val="JenniRefBody"/>
        <w:spacing w:line="240" w:lineRule="auto"/>
        <w:ind w:left="720" w:hanging="720"/>
        <w:rPr>
          <w:lang w:val="en-GB"/>
        </w:rPr>
      </w:pPr>
      <w:r w:rsidRPr="001C7538">
        <w:rPr>
          <w:lang w:val="en-GB"/>
        </w:rPr>
        <w:lastRenderedPageBreak/>
        <w:t xml:space="preserve">Husereau D, Drummond M, Petrou S, Carswell C, Moher D, Greenberg D, et al. Consolidated Health Economic Evaluation Reporting Standards (CHEERS) Statement. </w:t>
      </w:r>
      <w:proofErr w:type="spellStart"/>
      <w:r w:rsidRPr="001C7538">
        <w:rPr>
          <w:lang w:val="en-GB"/>
        </w:rPr>
        <w:t>PharmacoEconomics</w:t>
      </w:r>
      <w:proofErr w:type="spellEnd"/>
      <w:r w:rsidRPr="001C7538">
        <w:rPr>
          <w:lang w:val="en-GB"/>
        </w:rPr>
        <w:t xml:space="preserve"> [Internet]. 2013 Mar 25 [cited 2026 Aug];31(5):361–7. Available from: </w:t>
      </w:r>
      <w:hyperlink r:id="rId64" w:tgtFrame="_blank" w:history="1">
        <w:r w:rsidRPr="001C7538">
          <w:rPr>
            <w:rStyle w:val="Hyperlink"/>
            <w:lang w:val="en-GB"/>
          </w:rPr>
          <w:t>https://doi.org/10.1007/s40273-013-0032-y</w:t>
        </w:r>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58.</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59.</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60.</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61.</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62.</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63.</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64.</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65.</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lang w:val="en-GB"/>
        </w:rPr>
      </w:pPr>
      <w:r w:rsidRPr="001C7538">
        <w:rPr>
          <w:lang w:val="en-GB"/>
        </w:rPr>
        <w:t>66.</w:t>
      </w:r>
    </w:p>
    <w:p w14:paraId="1DBE34A0" w14:textId="42CA61BD"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GS, et al. </w:t>
      </w:r>
      <w:r w:rsidRPr="001C7538">
        <w:t xml:space="preserve">SPIRIT 2025 statement: </w:t>
      </w:r>
      <w:proofErr w:type="spellStart"/>
      <w:r w:rsidRPr="001C7538">
        <w:t>updated</w:t>
      </w:r>
      <w:proofErr w:type="spellEnd"/>
      <w:r w:rsidRPr="001C7538">
        <w:t xml:space="preserve"> guideline for </w:t>
      </w:r>
      <w:proofErr w:type="spellStart"/>
      <w:r w:rsidRPr="001C7538">
        <w:t>protocols</w:t>
      </w:r>
      <w:proofErr w:type="spellEnd"/>
      <w:r w:rsidRPr="001C7538">
        <w:t xml:space="preserve"> of </w:t>
      </w:r>
      <w:proofErr w:type="spellStart"/>
      <w:r w:rsidRPr="001C7538">
        <w:t>randomised</w:t>
      </w:r>
      <w:proofErr w:type="spellEnd"/>
      <w:r w:rsidRPr="001C7538">
        <w:t xml:space="preserve"> trials. </w:t>
      </w:r>
      <w:r w:rsidRPr="001C7538">
        <w:rPr>
          <w:lang w:val="en-GB"/>
        </w:rPr>
        <w:t xml:space="preserve">The Lancet [Internet]. 2025 Apr 28 [cited 2026 Mar];405(10491). Available from: </w:t>
      </w:r>
      <w:hyperlink r:id="rId73" w:tgtFrame="_blank" w:history="1">
        <w:r w:rsidRPr="001C7538">
          <w:rPr>
            <w:rStyle w:val="Hyperlink"/>
            <w:lang w:val="en-GB"/>
          </w:rPr>
          <w:t>https://doi.org/10.1016/s0140-6736(25)00770-6</w:t>
        </w:r>
      </w:hyperlink>
    </w:p>
    <w:p w14:paraId="24F58E02" w14:textId="77777777" w:rsidR="001C7538" w:rsidRPr="001C7538" w:rsidRDefault="001C7538" w:rsidP="001C7538">
      <w:pPr>
        <w:pStyle w:val="JenniRefBody"/>
        <w:spacing w:line="240" w:lineRule="auto"/>
        <w:ind w:left="720" w:hanging="720"/>
        <w:rPr>
          <w:lang w:val="en-GB"/>
        </w:rPr>
      </w:pPr>
      <w:r w:rsidRPr="001C7538">
        <w:rPr>
          <w:lang w:val="en-GB"/>
        </w:rPr>
        <w:t>67.</w:t>
      </w:r>
    </w:p>
    <w:p w14:paraId="1DD4B60A" w14:textId="69147928" w:rsidR="001C7538" w:rsidRPr="001C7538" w:rsidRDefault="001C7538" w:rsidP="001C7538">
      <w:pPr>
        <w:pStyle w:val="JenniRefBody"/>
        <w:spacing w:line="240" w:lineRule="auto"/>
        <w:ind w:left="720" w:hanging="720"/>
        <w:rPr>
          <w:lang w:val="en-GB"/>
        </w:rPr>
      </w:pPr>
      <w:r w:rsidRPr="001C7538">
        <w:rPr>
          <w:lang w:val="en-GB"/>
        </w:rPr>
        <w:t xml:space="preserve">Bonell C, Fletcher A, Morton M, Lorenc T, Moore L. Realist randomised controlled trials: A new approach to evaluating complex public health interventions. Social Science &amp; Medicine [Internet]. 2012 Sept 7 [cited 2026 Jan];75(12):2299–306. Available from: </w:t>
      </w:r>
      <w:hyperlink r:id="rId74" w:tgtFrame="_blank" w:history="1">
        <w:r w:rsidRPr="001C7538">
          <w:rPr>
            <w:rStyle w:val="Hyperlink"/>
            <w:lang w:val="en-GB"/>
          </w:rPr>
          <w:t>https://doi.org/10.1016/j.socscimed.2012.08.032</w:t>
        </w:r>
      </w:hyperlink>
    </w:p>
    <w:p w14:paraId="045859F4" w14:textId="77777777" w:rsidR="001C7538" w:rsidRPr="001C7538" w:rsidRDefault="001C7538" w:rsidP="001C7538">
      <w:pPr>
        <w:pStyle w:val="JenniRefBody"/>
        <w:spacing w:line="240" w:lineRule="auto"/>
        <w:ind w:left="720" w:hanging="720"/>
        <w:rPr>
          <w:lang w:val="en-GB"/>
        </w:rPr>
      </w:pPr>
      <w:r w:rsidRPr="001C7538">
        <w:rPr>
          <w:lang w:val="en-GB"/>
        </w:rPr>
        <w:t>68.</w:t>
      </w:r>
    </w:p>
    <w:p w14:paraId="5766B6F5" w14:textId="5178EA24" w:rsidR="001C7538" w:rsidRPr="001C7538" w:rsidRDefault="001C7538" w:rsidP="001C7538">
      <w:pPr>
        <w:pStyle w:val="JenniRefBody"/>
        <w:spacing w:line="240" w:lineRule="auto"/>
        <w:ind w:left="720" w:hanging="720"/>
        <w:rPr>
          <w:lang w:val="en-GB"/>
        </w:rPr>
      </w:pPr>
      <w:proofErr w:type="spellStart"/>
      <w:r w:rsidRPr="001C7538">
        <w:rPr>
          <w:lang w:val="en-GB"/>
        </w:rPr>
        <w:t>Vrijens</w:t>
      </w:r>
      <w:proofErr w:type="spellEnd"/>
      <w:r w:rsidRPr="001C7538">
        <w:rPr>
          <w:lang w:val="en-GB"/>
        </w:rPr>
        <w:t xml:space="preserve"> B, </w:t>
      </w:r>
      <w:proofErr w:type="spellStart"/>
      <w:r w:rsidRPr="001C7538">
        <w:rPr>
          <w:lang w:val="en-GB"/>
        </w:rPr>
        <w:t>Pironet</w:t>
      </w:r>
      <w:proofErr w:type="spellEnd"/>
      <w:r w:rsidRPr="001C7538">
        <w:rPr>
          <w:lang w:val="en-GB"/>
        </w:rPr>
        <w:t xml:space="preserve"> A, </w:t>
      </w:r>
      <w:proofErr w:type="spellStart"/>
      <w:r w:rsidRPr="001C7538">
        <w:rPr>
          <w:lang w:val="en-GB"/>
        </w:rPr>
        <w:t>Tousset</w:t>
      </w:r>
      <w:proofErr w:type="spellEnd"/>
      <w:r w:rsidRPr="001C7538">
        <w:rPr>
          <w:lang w:val="en-GB"/>
        </w:rPr>
        <w:t xml:space="preserve"> E. The Importance of Assessing Drug Exposure and Medication Adherence in Evaluating Investigational Medications: Ensuring Validity and Reliability of Clinical Trial Results. Pharmaceutical Medicine [Internet]. 2023 Dec 22 [cited 2026 Jan];38(1):9–18. Available from: </w:t>
      </w:r>
      <w:hyperlink r:id="rId75" w:tgtFrame="_blank" w:history="1">
        <w:r w:rsidRPr="001C7538">
          <w:rPr>
            <w:rStyle w:val="Hyperlink"/>
            <w:lang w:val="en-GB"/>
          </w:rPr>
          <w:t>https://doi.org/10.1007/s40290-023-00503-w</w:t>
        </w:r>
      </w:hyperlink>
    </w:p>
    <w:p w14:paraId="1A85A913" w14:textId="77777777" w:rsidR="001C7538" w:rsidRPr="001C7538" w:rsidRDefault="001C7538" w:rsidP="001C7538">
      <w:pPr>
        <w:pStyle w:val="JenniRefBody"/>
        <w:spacing w:line="240" w:lineRule="auto"/>
        <w:ind w:left="720" w:hanging="720"/>
        <w:rPr>
          <w:lang w:val="en-GB"/>
        </w:rPr>
      </w:pPr>
      <w:r w:rsidRPr="001C7538">
        <w:rPr>
          <w:lang w:val="en-GB"/>
        </w:rPr>
        <w:t>69.</w:t>
      </w:r>
    </w:p>
    <w:p w14:paraId="5ADA72E3" w14:textId="26BB5586" w:rsidR="001C7538" w:rsidRPr="001C7538" w:rsidRDefault="001C7538" w:rsidP="001C7538">
      <w:pPr>
        <w:pStyle w:val="JenniRefBody"/>
        <w:spacing w:line="240" w:lineRule="auto"/>
        <w:ind w:left="720" w:hanging="720"/>
        <w:rPr>
          <w:lang w:val="en-GB"/>
        </w:rPr>
      </w:pPr>
      <w:r w:rsidRPr="001C7538">
        <w:rPr>
          <w:lang w:val="en-GB"/>
        </w:rPr>
        <w:t xml:space="preserve">McCormick CJ, Bonanno DR, Landorf KB. The effect of customised and sham foot orthoses on plantar pressures. Journal of Foot and Ankle Research [Internet]. 2013 Jan 1 [cited 2025 Nov];6(1):19. Available from: </w:t>
      </w:r>
      <w:hyperlink r:id="rId76" w:tgtFrame="_blank" w:history="1">
        <w:r w:rsidRPr="001C7538">
          <w:rPr>
            <w:rStyle w:val="Hyperlink"/>
            <w:lang w:val="en-GB"/>
          </w:rPr>
          <w:t>https://doi.org/10.1186/1757-1146-6-19</w:t>
        </w:r>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70.</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lang w:val="en-GB"/>
        </w:rPr>
      </w:pPr>
      <w:r w:rsidRPr="001C7538">
        <w:rPr>
          <w:lang w:val="en-GB"/>
        </w:rPr>
        <w:t>71.</w:t>
      </w:r>
    </w:p>
    <w:p w14:paraId="04CADBD7" w14:textId="79C0C451" w:rsidR="001C7538" w:rsidRPr="001C7538" w:rsidRDefault="001C7538" w:rsidP="001C7538">
      <w:pPr>
        <w:pStyle w:val="JenniRefBody"/>
        <w:spacing w:line="240" w:lineRule="auto"/>
        <w:ind w:left="720" w:hanging="720"/>
        <w:rPr>
          <w:lang w:val="en-GB"/>
        </w:rPr>
      </w:pPr>
      <w:r w:rsidRPr="001C7538">
        <w:rPr>
          <w:lang w:val="en-GB"/>
        </w:rPr>
        <w:t xml:space="preserve">Man W, Guo F, He X, Zheng D, Ye W, Li S, et al. Analysis of Distribution and Drug Susceptibility Test Results of Pathogenic Bacteria in Diabetic Foot Ulcers. Diabetes Therapy [Internet]. 2024 May 21 [cited 2026 Jan];15(7):1627–37. Available from: </w:t>
      </w:r>
      <w:hyperlink r:id="rId78" w:tgtFrame="_blank" w:history="1">
        <w:r w:rsidRPr="001C7538">
          <w:rPr>
            <w:rStyle w:val="Hyperlink"/>
            <w:lang w:val="en-GB"/>
          </w:rPr>
          <w:t>https://doi.org/10.1007/s13300-024-01601-x</w:t>
        </w:r>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72.</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lang w:val="en-GB"/>
        </w:rPr>
      </w:pPr>
      <w:r w:rsidRPr="001C7538">
        <w:rPr>
          <w:lang w:val="en-GB"/>
        </w:rPr>
        <w:t>73.</w:t>
      </w:r>
    </w:p>
    <w:p w14:paraId="726C4BBD" w14:textId="4FFA361A" w:rsidR="001C7538" w:rsidRPr="001C7538" w:rsidRDefault="001C7538" w:rsidP="001C7538">
      <w:pPr>
        <w:pStyle w:val="JenniRefBody"/>
        <w:spacing w:line="240" w:lineRule="auto"/>
        <w:ind w:left="720" w:hanging="720"/>
        <w:rPr>
          <w:lang w:val="en-GB"/>
        </w:rPr>
      </w:pPr>
      <w:r w:rsidRPr="001C7538">
        <w:rPr>
          <w:lang w:val="en-GB"/>
        </w:rPr>
        <w:t xml:space="preserve">Monteiro‐Soares M, Russell D, Boyko EJ, </w:t>
      </w:r>
      <w:proofErr w:type="spellStart"/>
      <w:r w:rsidRPr="001C7538">
        <w:rPr>
          <w:lang w:val="en-GB"/>
        </w:rPr>
        <w:t>Jeffcoate</w:t>
      </w:r>
      <w:proofErr w:type="spellEnd"/>
      <w:r w:rsidRPr="001C7538">
        <w:rPr>
          <w:lang w:val="en-GB"/>
        </w:rPr>
        <w:t xml:space="preserve"> W, Mills JL, </w:t>
      </w:r>
      <w:proofErr w:type="spellStart"/>
      <w:r w:rsidRPr="001C7538">
        <w:rPr>
          <w:lang w:val="en-GB"/>
        </w:rPr>
        <w:t>Morbach</w:t>
      </w:r>
      <w:proofErr w:type="spellEnd"/>
      <w:r w:rsidRPr="001C7538">
        <w:rPr>
          <w:lang w:val="en-GB"/>
        </w:rPr>
        <w:t xml:space="preserve"> S, et al. Guidelines on the classification of diabetic foot ulcers (IWGDF 2019). </w:t>
      </w:r>
      <w:r w:rsidRPr="001C7538">
        <w:rPr>
          <w:lang w:val="en-GB"/>
        </w:rPr>
        <w:lastRenderedPageBreak/>
        <w:t xml:space="preserve">Diabetes/Metabolism Research and Reviews [Internet]. 2020 Mar 1 [cited 2026 Jan];36. Available from: </w:t>
      </w:r>
      <w:hyperlink r:id="rId80" w:tgtFrame="_blank" w:history="1">
        <w:r w:rsidRPr="001C7538">
          <w:rPr>
            <w:rStyle w:val="Hyperlink"/>
            <w:lang w:val="en-GB"/>
          </w:rPr>
          <w:t>https://doi.org/10.1002/dmrr.3273</w:t>
        </w:r>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74.</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75.</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