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D8DB0"/>
          <w:sz w:val="16"/>
        </w:rPr>
        <w:t>PARADISE  ·  WERKPAKKET 3</w:t>
      </w:r>
    </w:p>
    <w:p>
      <w:pPr>
        <w:spacing w:after="40"/>
      </w:pPr>
      <w:r>
        <w:rPr>
          <w:b/>
          <w:color w:val="00407A"/>
          <w:sz w:val="36"/>
        </w:rPr>
        <w:t>Gezondheidseconomie — overleg Koen Putman</w:t>
      </w:r>
    </w:p>
    <w:p>
      <w:pPr>
        <w:spacing w:after="140"/>
      </w:pPr>
      <w:r>
        <w:rPr>
          <w:b w:val="0"/>
          <w:color w:val="5A6A78"/>
          <w:sz w:val="18"/>
        </w:rPr>
        <w:t>24 september 2026  ·  werkdocument</w:t>
      </w:r>
    </w:p>
    <w:p>
      <w:pPr>
        <w:spacing w:after="100"/>
      </w:pPr>
      <w:r>
        <w:rPr>
          <w:b w:val="0"/>
          <w:color w:val="1B2630"/>
          <w:sz w:val="19"/>
        </w:rPr>
        <w:t>Het meeste staat al in de taakverdeling, toegewezen aan jou en Maaike met een deadline. Sectie 1 is dus een stand van zaken, geen vragenlijst. Nieuw sinds vorige week: de budgetimpactanalyse is beslist (sectie 2), en daarmee komt de powervraag op tafel (sectie 3).</w:t>
      </w:r>
    </w:p>
    <w:p>
      <w:pPr>
        <w:spacing w:before="260" w:after="80"/>
      </w:pPr>
      <w:r>
        <w:rPr>
          <w:b/>
          <w:color w:val="FF7A00"/>
          <w:sz w:val="22"/>
        </w:rPr>
        <w:t>1  Al toegewezen — wat ik erover vond</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3400"/>
        <w:gridCol w:w="3400"/>
        <w:gridCol w:w="3400"/>
      </w:tblGrid>
      <w:tr>
        <w:tc>
          <w:tcPr>
            <w:tcW w:type="dxa" w:w="2608"/>
            <w:shd w:val="clear" w:fill="1D8DB0"/>
          </w:tcPr>
          <w:p>
            <w:pPr>
              <w:spacing w:before="20" w:after="20"/>
            </w:pPr>
            <w:r>
              <w:rPr>
                <w:b/>
                <w:color w:val="FFFFFF"/>
                <w:sz w:val="16"/>
              </w:rPr>
              <w:t>TAAK</w:t>
            </w:r>
          </w:p>
        </w:tc>
        <w:tc>
          <w:tcPr>
            <w:tcW w:type="dxa" w:w="850"/>
            <w:shd w:val="clear" w:fill="1D8DB0"/>
          </w:tcPr>
          <w:p>
            <w:pPr>
              <w:spacing w:before="20" w:after="20"/>
            </w:pPr>
            <w:r>
              <w:rPr>
                <w:b/>
                <w:color w:val="FFFFFF"/>
                <w:sz w:val="16"/>
              </w:rPr>
              <w:t>TEGEN</w:t>
            </w:r>
          </w:p>
        </w:tc>
        <w:tc>
          <w:tcPr>
            <w:tcW w:type="dxa" w:w="6406"/>
            <w:shd w:val="clear" w:fill="1D8DB0"/>
          </w:tcPr>
          <w:p>
            <w:pPr>
              <w:spacing w:before="20" w:after="20"/>
            </w:pPr>
            <w:r>
              <w:rPr>
                <w:b/>
                <w:color w:val="FFFFFF"/>
                <w:sz w:val="16"/>
              </w:rPr>
              <w:t>WAT IK VOND</w:t>
            </w:r>
          </w:p>
        </w:tc>
      </w:tr>
      <w:tr>
        <w:tc>
          <w:tcPr>
            <w:tcW w:type="dxa" w:w="2608"/>
          </w:tcPr>
          <w:p>
            <w:pPr>
              <w:spacing w:before="20" w:after="20"/>
            </w:pPr>
            <w:r>
              <w:rPr>
                <w:color w:val="1B2630"/>
                <w:sz w:val="17"/>
              </w:rPr>
              <w:t>Eenheidsprijzen en microkosten van de interventie</w:t>
            </w:r>
          </w:p>
        </w:tc>
        <w:tc>
          <w:tcPr>
            <w:tcW w:type="dxa" w:w="850"/>
          </w:tcPr>
          <w:p>
            <w:pPr>
              <w:spacing w:before="20" w:after="20"/>
            </w:pPr>
            <w:r>
              <w:rPr>
                <w:color w:val="1B2630"/>
                <w:sz w:val="17"/>
              </w:rPr>
              <w:t>nov 26</w:t>
            </w:r>
          </w:p>
        </w:tc>
        <w:tc>
          <w:tcPr>
            <w:tcW w:type="dxa" w:w="6406"/>
          </w:tcPr>
          <w:p>
            <w:pPr>
              <w:spacing w:before="20" w:after="20"/>
            </w:pPr>
            <w:r>
              <w:rPr>
                <w:color w:val="1B2630"/>
                <w:sz w:val="17"/>
              </w:rPr>
              <w:t>eCRF 23, waar de drukgestuurde aanpassing gebeurt, heeft geen tijdsveld. Het therapeutendagboek 40 vraagt wél naar tijd, maar als globaal gemiddelde per patiënt, niet per sessie. Voor micro-costing te grof.</w:t>
            </w:r>
          </w:p>
        </w:tc>
      </w:tr>
      <w:tr>
        <w:tc>
          <w:tcPr>
            <w:tcW w:type="dxa" w:w="2608"/>
          </w:tcPr>
          <w:p>
            <w:pPr>
              <w:spacing w:before="20" w:after="20"/>
            </w:pPr>
            <w:r>
              <w:rPr>
                <w:color w:val="1B2630"/>
                <w:sz w:val="17"/>
              </w:rPr>
              <w:t>Formulier dossierextractie ulcuskosten</w:t>
            </w:r>
          </w:p>
        </w:tc>
        <w:tc>
          <w:tcPr>
            <w:tcW w:type="dxa" w:w="850"/>
          </w:tcPr>
          <w:p>
            <w:pPr>
              <w:spacing w:before="20" w:after="20"/>
            </w:pPr>
            <w:r>
              <w:rPr>
                <w:color w:val="1B2630"/>
                <w:sz w:val="17"/>
              </w:rPr>
              <w:t>dec 26</w:t>
            </w:r>
          </w:p>
        </w:tc>
        <w:tc>
          <w:tcPr>
            <w:tcW w:type="dxa" w:w="6406"/>
          </w:tcPr>
          <w:p>
            <w:pPr>
              <w:spacing w:before="20" w:after="20"/>
            </w:pPr>
            <w:r>
              <w:rPr>
                <w:color w:val="1B2630"/>
                <w:sz w:val="17"/>
              </w:rPr>
              <w:t>Het protocol béschrijft de extractie, maar met “where feasible” — dat is geen procedure. Zes ziekenhuizen, zes dossiersystemen.</w:t>
            </w:r>
          </w:p>
        </w:tc>
      </w:tr>
      <w:tr>
        <w:tc>
          <w:tcPr>
            <w:tcW w:type="dxa" w:w="2608"/>
          </w:tcPr>
          <w:p>
            <w:pPr>
              <w:spacing w:before="20" w:after="20"/>
            </w:pPr>
            <w:r>
              <w:rPr>
                <w:color w:val="1B2630"/>
                <w:sz w:val="17"/>
              </w:rPr>
              <w:t>Dagboeklast toetsen naast de iMCQ</w:t>
            </w:r>
          </w:p>
        </w:tc>
        <w:tc>
          <w:tcPr>
            <w:tcW w:type="dxa" w:w="850"/>
          </w:tcPr>
          <w:p>
            <w:pPr>
              <w:spacing w:before="20" w:after="20"/>
            </w:pPr>
            <w:r>
              <w:rPr>
                <w:color w:val="1B2630"/>
                <w:sz w:val="17"/>
              </w:rPr>
              <w:t>nov 26</w:t>
            </w:r>
          </w:p>
        </w:tc>
        <w:tc>
          <w:tcPr>
            <w:tcW w:type="dxa" w:w="6406"/>
          </w:tcPr>
          <w:p>
            <w:pPr>
              <w:spacing w:before="20" w:after="20"/>
            </w:pPr>
            <w:r>
              <w:rPr>
                <w:color w:val="1B2630"/>
                <w:sz w:val="17"/>
              </w:rPr>
              <w:t>Item voor item vergeleken: op de dure posten is de overlap zo goed als volledig. Maar de iMCQ heeft spoed, ambulance, mantelzorg en vervoer die het dagboek mist; het dagboek heeft voetzorgmateriaal, remgeld en prospectieve registratie die de iMCQ mist. Geen van beide is zonder verlies te schrappen.</w:t>
            </w:r>
          </w:p>
        </w:tc>
      </w:tr>
      <w:tr>
        <w:tc>
          <w:tcPr>
            <w:tcW w:type="dxa" w:w="2608"/>
          </w:tcPr>
          <w:p>
            <w:pPr>
              <w:spacing w:before="20" w:after="20"/>
            </w:pPr>
            <w:r>
              <w:rPr>
                <w:color w:val="1B2630"/>
                <w:sz w:val="17"/>
              </w:rPr>
              <w:t>Gezondheidseconomisch analyseplan</w:t>
            </w:r>
          </w:p>
        </w:tc>
        <w:tc>
          <w:tcPr>
            <w:tcW w:type="dxa" w:w="850"/>
          </w:tcPr>
          <w:p>
            <w:pPr>
              <w:spacing w:before="20" w:after="20"/>
            </w:pPr>
            <w:r>
              <w:rPr>
                <w:color w:val="1B2630"/>
                <w:sz w:val="17"/>
              </w:rPr>
              <w:t>dec 26</w:t>
            </w:r>
          </w:p>
        </w:tc>
        <w:tc>
          <w:tcPr>
            <w:tcW w:type="dxa" w:w="6406"/>
          </w:tcPr>
          <w:p>
            <w:pPr>
              <w:spacing w:before="20" w:after="20"/>
            </w:pPr>
            <w:r>
              <w:rPr>
                <w:color w:val="1B2630"/>
                <w:sz w:val="17"/>
              </w:rPr>
              <w:t>Zie sectie 5: acht plaatsen waar het manuscript vaag blijft, met telkens wat KCE 400 vraagt.</w:t>
            </w:r>
          </w:p>
        </w:tc>
      </w:tr>
      <w:tr>
        <w:tc>
          <w:tcPr>
            <w:tcW w:type="dxa" w:w="2608"/>
          </w:tcPr>
          <w:p>
            <w:pPr>
              <w:spacing w:before="20" w:after="20"/>
            </w:pPr>
            <w:r>
              <w:rPr>
                <w:color w:val="1B2630"/>
                <w:sz w:val="17"/>
              </w:rPr>
              <w:t>Markov: structuur en parameters</w:t>
            </w:r>
          </w:p>
        </w:tc>
        <w:tc>
          <w:tcPr>
            <w:tcW w:type="dxa" w:w="850"/>
          </w:tcPr>
          <w:p>
            <w:pPr>
              <w:spacing w:before="20" w:after="20"/>
            </w:pPr>
            <w:r>
              <w:rPr>
                <w:color w:val="1B2630"/>
                <w:sz w:val="17"/>
              </w:rPr>
              <w:t>na de start</w:t>
            </w:r>
          </w:p>
        </w:tc>
        <w:tc>
          <w:tcPr>
            <w:tcW w:type="dxa" w:w="6406"/>
          </w:tcPr>
          <w:p>
            <w:pPr>
              <w:spacing w:before="20" w:after="20"/>
            </w:pPr>
            <w:r>
              <w:rPr>
                <w:color w:val="1B2630"/>
                <w:sz w:val="17"/>
              </w:rPr>
              <w:t>Naast de transitiekansen ontbreken de utiliteiten per toestand. In grote amputatie zal te weinig persoonstijd zitten om ze uit de trial te halen.</w:t>
            </w:r>
          </w:p>
        </w:tc>
      </w:tr>
      <w:tr>
        <w:tc>
          <w:tcPr>
            <w:tcW w:type="dxa" w:w="2608"/>
          </w:tcPr>
          <w:p>
            <w:pPr>
              <w:spacing w:before="20" w:after="20"/>
            </w:pPr>
            <w:r>
              <w:rPr>
                <w:color w:val="1B2630"/>
                <w:sz w:val="17"/>
              </w:rPr>
              <w:t>Veldwerk WP2 en WP3 — tweede doctoraatsplaats</w:t>
            </w:r>
          </w:p>
        </w:tc>
        <w:tc>
          <w:tcPr>
            <w:tcW w:type="dxa" w:w="850"/>
          </w:tcPr>
          <w:p>
            <w:pPr>
              <w:spacing w:before="20" w:after="20"/>
            </w:pPr>
            <w:r>
              <w:rPr>
                <w:color w:val="1B2630"/>
                <w:sz w:val="17"/>
              </w:rPr>
              <w:t>okt 26</w:t>
            </w:r>
          </w:p>
        </w:tc>
        <w:tc>
          <w:tcPr>
            <w:tcW w:type="dxa" w:w="6406"/>
          </w:tcPr>
          <w:p>
            <w:pPr>
              <w:spacing w:before="20" w:after="20"/>
            </w:pPr>
            <w:r>
              <w:rPr>
                <w:color w:val="1B2630"/>
                <w:sz w:val="17"/>
              </w:rPr>
              <w:t>Telefonische afname zou 144 × 6 = 864 gesprekken toevoegen, ruwweg 300 tot 580 uur, bovenop de circa 1 900 dagboekjes die centraal overgetypt worden.</w:t>
            </w:r>
          </w:p>
        </w:tc>
      </w:tr>
      <w:tr>
        <w:tc>
          <w:tcPr>
            <w:tcW w:type="dxa" w:w="2608"/>
          </w:tcPr>
          <w:p>
            <w:pPr>
              <w:spacing w:before="20" w:after="20"/>
            </w:pPr>
            <w:r>
              <w:rPr>
                <w:color w:val="1B2630"/>
                <w:sz w:val="17"/>
              </w:rPr>
              <w:t>Licenties EuroQol en iMTA</w:t>
            </w:r>
          </w:p>
        </w:tc>
        <w:tc>
          <w:tcPr>
            <w:tcW w:type="dxa" w:w="850"/>
          </w:tcPr>
          <w:p>
            <w:pPr>
              <w:spacing w:before="20" w:after="20"/>
            </w:pPr>
            <w:r>
              <w:rPr>
                <w:color w:val="1B2630"/>
                <w:sz w:val="17"/>
              </w:rPr>
              <w:t>okt 26</w:t>
            </w:r>
          </w:p>
        </w:tc>
        <w:tc>
          <w:tcPr>
            <w:tcW w:type="dxa" w:w="6406"/>
          </w:tcPr>
          <w:p>
            <w:pPr>
              <w:spacing w:before="20" w:after="20"/>
            </w:pPr>
            <w:r>
              <w:rPr>
                <w:color w:val="1B2630"/>
                <w:sz w:val="17"/>
              </w:rPr>
              <w:t>EuroQol geregistreerd, Belgium Flemish aangevraagd. iMTA nog te doen. Bij telefonische afname moet de interviewer-administered EQ-5D bijgevraagd worden.</w:t>
            </w:r>
          </w:p>
        </w:tc>
      </w:tr>
    </w:tbl>
    <w:p>
      <w:pPr>
        <w:spacing w:before="260" w:after="80"/>
      </w:pPr>
      <w:r>
        <w:rPr>
          <w:b/>
          <w:color w:val="FF7A00"/>
          <w:sz w:val="22"/>
        </w:rPr>
        <w:t>2  Budgetimpactanalyse — beslist dat ze er komt</w:t>
      </w:r>
    </w:p>
    <w:p>
      <w:pPr>
        <w:spacing w:after="80"/>
      </w:pPr>
      <w:r>
        <w:rPr>
          <w:b w:val="0"/>
          <w:color w:val="5A6A78"/>
          <w:sz w:val="17"/>
        </w:rPr>
        <w:t>KCE 400 behandelt ze in richtlijnen 17 tot 25. Ze is geen tweede kosteneffectiviteit met andere getallen, maar een ander soort analyse.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3400"/>
        <w:gridCol w:w="3400"/>
        <w:gridCol w:w="3400"/>
      </w:tblGrid>
      <w:tr>
        <w:tc>
          <w:tcPr>
            <w:tcW w:type="dxa" w:w="1587"/>
            <w:shd w:val="clear" w:fill="1D8DB0"/>
          </w:tcPr>
          <w:p>
            <w:pPr>
              <w:spacing w:before="20" w:after="20"/>
            </w:pPr>
            <w:r>
              <w:rPr>
                <w:b/>
                <w:color w:val="FFFFFF"/>
                <w:sz w:val="16"/>
              </w:rPr>
            </w:r>
          </w:p>
        </w:tc>
        <w:tc>
          <w:tcPr>
            <w:tcW w:type="dxa" w:w="3628"/>
            <w:shd w:val="clear" w:fill="1D8DB0"/>
          </w:tcPr>
          <w:p>
            <w:pPr>
              <w:spacing w:before="20" w:after="20"/>
            </w:pPr>
            <w:r>
              <w:rPr>
                <w:b/>
                <w:color w:val="FFFFFF"/>
                <w:sz w:val="16"/>
              </w:rPr>
              <w:t>KOSTENEFFECTIVITEIT</w:t>
            </w:r>
          </w:p>
        </w:tc>
        <w:tc>
          <w:tcPr>
            <w:tcW w:type="dxa" w:w="4649"/>
            <w:shd w:val="clear" w:fill="1D8DB0"/>
          </w:tcPr>
          <w:p>
            <w:pPr>
              <w:spacing w:before="20" w:after="20"/>
            </w:pPr>
            <w:r>
              <w:rPr>
                <w:b/>
                <w:color w:val="FFFFFF"/>
                <w:sz w:val="16"/>
              </w:rPr>
              <w:t>BUDGETIMPACT</w:t>
            </w:r>
          </w:p>
        </w:tc>
      </w:tr>
      <w:tr>
        <w:tc>
          <w:tcPr>
            <w:tcW w:type="dxa" w:w="1587"/>
          </w:tcPr>
          <w:p>
            <w:pPr>
              <w:spacing w:before="20" w:after="20"/>
            </w:pPr>
            <w:r>
              <w:rPr>
                <w:color w:val="1B2630"/>
                <w:sz w:val="17"/>
              </w:rPr>
              <w:t>Vraag</w:t>
            </w:r>
          </w:p>
        </w:tc>
        <w:tc>
          <w:tcPr>
            <w:tcW w:type="dxa" w:w="3628"/>
          </w:tcPr>
          <w:p>
            <w:pPr>
              <w:spacing w:before="20" w:after="20"/>
            </w:pPr>
            <w:r>
              <w:rPr>
                <w:color w:val="1B2630"/>
                <w:sz w:val="17"/>
              </w:rPr>
              <w:t>Is het de moeite waard?</w:t>
            </w:r>
          </w:p>
        </w:tc>
        <w:tc>
          <w:tcPr>
            <w:tcW w:type="dxa" w:w="4649"/>
          </w:tcPr>
          <w:p>
            <w:pPr>
              <w:spacing w:before="20" w:after="20"/>
            </w:pPr>
            <w:r>
              <w:rPr>
                <w:color w:val="1B2630"/>
                <w:sz w:val="17"/>
              </w:rPr>
              <w:t>Kunnen we het betalen?</w:t>
            </w:r>
          </w:p>
        </w:tc>
      </w:tr>
      <w:tr>
        <w:tc>
          <w:tcPr>
            <w:tcW w:type="dxa" w:w="1587"/>
          </w:tcPr>
          <w:p>
            <w:pPr>
              <w:spacing w:before="20" w:after="20"/>
            </w:pPr>
            <w:r>
              <w:rPr>
                <w:color w:val="1B2630"/>
                <w:sz w:val="17"/>
              </w:rPr>
              <w:t>Doelpopulatie</w:t>
            </w:r>
          </w:p>
        </w:tc>
        <w:tc>
          <w:tcPr>
            <w:tcW w:type="dxa" w:w="3628"/>
          </w:tcPr>
          <w:p>
            <w:pPr>
              <w:spacing w:before="20" w:after="20"/>
            </w:pPr>
            <w:r>
              <w:rPr>
                <w:color w:val="1B2630"/>
                <w:sz w:val="17"/>
              </w:rPr>
              <w:t>Gesloten</w:t>
            </w:r>
          </w:p>
        </w:tc>
        <w:tc>
          <w:tcPr>
            <w:tcW w:type="dxa" w:w="4649"/>
          </w:tcPr>
          <w:p>
            <w:pPr>
              <w:spacing w:before="20" w:after="20"/>
            </w:pPr>
            <w:r>
              <w:rPr>
                <w:color w:val="1B2630"/>
                <w:sz w:val="17"/>
              </w:rPr>
              <w:t>Open — instroom over de jaren</w:t>
            </w:r>
          </w:p>
        </w:tc>
      </w:tr>
      <w:tr>
        <w:tc>
          <w:tcPr>
            <w:tcW w:type="dxa" w:w="1587"/>
          </w:tcPr>
          <w:p>
            <w:pPr>
              <w:spacing w:before="20" w:after="20"/>
            </w:pPr>
            <w:r>
              <w:rPr>
                <w:color w:val="1B2630"/>
                <w:sz w:val="17"/>
              </w:rPr>
              <w:t>Comparator</w:t>
            </w:r>
          </w:p>
        </w:tc>
        <w:tc>
          <w:tcPr>
            <w:tcW w:type="dxa" w:w="3628"/>
          </w:tcPr>
          <w:p>
            <w:pPr>
              <w:spacing w:before="20" w:after="20"/>
            </w:pPr>
            <w:r>
              <w:rPr>
                <w:color w:val="1B2630"/>
                <w:sz w:val="17"/>
              </w:rPr>
              <w:t>Op de efficiëntiegrens</w:t>
            </w:r>
          </w:p>
        </w:tc>
        <w:tc>
          <w:tcPr>
            <w:tcW w:type="dxa" w:w="4649"/>
          </w:tcPr>
          <w:p>
            <w:pPr>
              <w:spacing w:before="20" w:after="20"/>
            </w:pPr>
            <w:r>
              <w:rPr>
                <w:color w:val="1B2630"/>
                <w:sz w:val="17"/>
              </w:rPr>
              <w:t>De huidige situatie. PARADISE is een add-on, dus: de dagelijkse praktijk zónder PARADISE.</w:t>
            </w:r>
          </w:p>
        </w:tc>
      </w:tr>
      <w:tr>
        <w:tc>
          <w:tcPr>
            <w:tcW w:type="dxa" w:w="1587"/>
          </w:tcPr>
          <w:p>
            <w:pPr>
              <w:spacing w:before="20" w:after="20"/>
            </w:pPr>
            <w:r>
              <w:rPr>
                <w:color w:val="1B2630"/>
                <w:sz w:val="17"/>
              </w:rPr>
              <w:t>Gezondheidsuitkomsten</w:t>
            </w:r>
          </w:p>
        </w:tc>
        <w:tc>
          <w:tcPr>
            <w:tcW w:type="dxa" w:w="3628"/>
          </w:tcPr>
          <w:p>
            <w:pPr>
              <w:spacing w:before="20" w:after="20"/>
            </w:pPr>
            <w:r>
              <w:rPr>
                <w:color w:val="1B2630"/>
                <w:sz w:val="17"/>
              </w:rPr>
              <w:t>Wel</w:t>
            </w:r>
          </w:p>
        </w:tc>
        <w:tc>
          <w:tcPr>
            <w:tcW w:type="dxa" w:w="4649"/>
          </w:tcPr>
          <w:p>
            <w:pPr>
              <w:spacing w:before="20" w:after="20"/>
            </w:pPr>
            <w:r>
              <w:rPr>
                <w:color w:val="1B2630"/>
                <w:sz w:val="17"/>
              </w:rPr>
              <w:t>Niet — geen QALY’s</w:t>
            </w:r>
          </w:p>
        </w:tc>
      </w:tr>
      <w:tr>
        <w:tc>
          <w:tcPr>
            <w:tcW w:type="dxa" w:w="1587"/>
          </w:tcPr>
          <w:p>
            <w:pPr>
              <w:spacing w:before="20" w:after="20"/>
            </w:pPr>
            <w:r>
              <w:rPr>
                <w:color w:val="1B2630"/>
                <w:sz w:val="17"/>
              </w:rPr>
              <w:t>Tijdshorizon</w:t>
            </w:r>
          </w:p>
        </w:tc>
        <w:tc>
          <w:tcPr>
            <w:tcW w:type="dxa" w:w="3628"/>
          </w:tcPr>
          <w:p>
            <w:pPr>
              <w:spacing w:before="20" w:after="20"/>
            </w:pPr>
            <w:r>
              <w:rPr>
                <w:color w:val="1B2630"/>
                <w:sz w:val="17"/>
              </w:rPr>
              <w:t>Zolang er incrementele kosten of effecten zijn</w:t>
            </w:r>
          </w:p>
        </w:tc>
        <w:tc>
          <w:tcPr>
            <w:tcW w:type="dxa" w:w="4649"/>
          </w:tcPr>
          <w:p>
            <w:pPr>
              <w:spacing w:before="20" w:after="20"/>
            </w:pPr>
            <w:r>
              <w:rPr>
                <w:color w:val="1B2630"/>
                <w:sz w:val="17"/>
              </w:rPr>
              <w:t>Tot het regime stabiel is</w:t>
            </w:r>
          </w:p>
        </w:tc>
      </w:tr>
      <w:tr>
        <w:tc>
          <w:tcPr>
            <w:tcW w:type="dxa" w:w="1587"/>
          </w:tcPr>
          <w:p>
            <w:pPr>
              <w:spacing w:before="20" w:after="20"/>
            </w:pPr>
            <w:r>
              <w:rPr>
                <w:color w:val="1B2630"/>
                <w:sz w:val="17"/>
              </w:rPr>
              <w:t>Disconto</w:t>
            </w:r>
          </w:p>
        </w:tc>
        <w:tc>
          <w:tcPr>
            <w:tcW w:type="dxa" w:w="3628"/>
          </w:tcPr>
          <w:p>
            <w:pPr>
              <w:spacing w:before="20" w:after="20"/>
            </w:pPr>
            <w:r>
              <w:rPr>
                <w:color w:val="1B2630"/>
                <w:sz w:val="17"/>
              </w:rPr>
              <w:t>3% kosten, 1,5% effecten</w:t>
            </w:r>
          </w:p>
        </w:tc>
        <w:tc>
          <w:tcPr>
            <w:tcW w:type="dxa" w:w="4649"/>
          </w:tcPr>
          <w:p>
            <w:pPr>
              <w:spacing w:before="20" w:after="20"/>
            </w:pPr>
            <w:r>
              <w:rPr>
                <w:color w:val="1B2630"/>
                <w:sz w:val="17"/>
              </w:rPr>
              <w:t>Géén disconto</w:t>
            </w:r>
          </w:p>
        </w:tc>
      </w:tr>
      <w:tr>
        <w:tc>
          <w:tcPr>
            <w:tcW w:type="dxa" w:w="1587"/>
          </w:tcPr>
          <w:p>
            <w:pPr>
              <w:spacing w:before="20" w:after="20"/>
            </w:pPr>
            <w:r>
              <w:rPr>
                <w:color w:val="1B2630"/>
                <w:sz w:val="17"/>
              </w:rPr>
              <w:t>Onzekerheid</w:t>
            </w:r>
          </w:p>
        </w:tc>
        <w:tc>
          <w:tcPr>
            <w:tcW w:type="dxa" w:w="3628"/>
          </w:tcPr>
          <w:p>
            <w:pPr>
              <w:spacing w:before="20" w:after="20"/>
            </w:pPr>
            <w:r>
              <w:rPr>
                <w:color w:val="1B2630"/>
                <w:sz w:val="17"/>
              </w:rPr>
              <w:t>PSA, scenario- en subgroepanalyses</w:t>
            </w:r>
          </w:p>
        </w:tc>
        <w:tc>
          <w:tcPr>
            <w:tcW w:type="dxa" w:w="4649"/>
          </w:tcPr>
          <w:p>
            <w:pPr>
              <w:spacing w:before="20" w:after="20"/>
            </w:pPr>
            <w:r>
              <w:rPr>
                <w:color w:val="1B2630"/>
                <w:sz w:val="17"/>
              </w:rPr>
              <w:t>Deterministisch, met best- en worst-case voor variabelen zonder onderbouwing — opname­graad is het voorbeeld dat de richtlijn geeft</w:t>
            </w:r>
          </w:p>
        </w:tc>
      </w:tr>
      <w:tr>
        <w:tc>
          <w:tcPr>
            <w:tcW w:type="dxa" w:w="1587"/>
          </w:tcPr>
          <w:p>
            <w:pPr>
              <w:spacing w:before="20" w:after="20"/>
            </w:pPr>
            <w:r>
              <w:rPr>
                <w:color w:val="1B2630"/>
                <w:sz w:val="17"/>
              </w:rPr>
              <w:t>Resultaat</w:t>
            </w:r>
          </w:p>
        </w:tc>
        <w:tc>
          <w:tcPr>
            <w:tcW w:type="dxa" w:w="3628"/>
          </w:tcPr>
          <w:p>
            <w:pPr>
              <w:spacing w:before="20" w:after="20"/>
            </w:pPr>
            <w:r>
              <w:rPr>
                <w:color w:val="1B2630"/>
                <w:sz w:val="17"/>
              </w:rPr>
              <w:t>ICUR, kosteneffectiviteitsvlak, CEAC</w:t>
            </w:r>
          </w:p>
        </w:tc>
        <w:tc>
          <w:tcPr>
            <w:tcW w:type="dxa" w:w="4649"/>
          </w:tcPr>
          <w:p>
            <w:pPr>
              <w:spacing w:before="20" w:after="20"/>
            </w:pPr>
            <w:r>
              <w:rPr>
                <w:color w:val="1B2630"/>
                <w:sz w:val="17"/>
              </w:rPr>
              <w:t>Budgetimpact per jaar, uitgesplitst, plus de gevoeligheidsanalyses</w:t>
            </w:r>
          </w:p>
        </w:tc>
      </w:tr>
    </w:tbl>
    <w:p>
      <w:pPr>
        <w:spacing w:after="60"/>
      </w:pPr>
      <w:r>
        <w:rPr>
          <w:b w:val="0"/>
          <w:color w:val="1B2630"/>
          <w:sz w:val="18"/>
        </w:rPr>
        <w:t>Jouw voorbeeld is meteen de kern: PARADISE vraagt twee paren, standaardzorg één. In de kosteneffectiviteit verdwijnt dat in de ICUR; in de budgetimpact staat het als aparte regel, elk jaar, maal de instroom. Daar komt de timing bij die het manuscript zelf benoemt — bij preventie gaan de kosten vóór de baten. Het extra paar en de drukmeting belasten het budget meteen, de vermeden opnames komen later. Precies wat een budgetimpactanalyse zichtbaar maakt en een kosteneffectiviteitsanalyse verbergt.</w:t>
      </w:r>
    </w:p>
    <w:p>
      <w:pPr>
        <w:spacing w:after="60"/>
      </w:pPr>
      <w:r>
        <w:rPr>
          <w:b w:val="0"/>
          <w:color w:val="1B2630"/>
          <w:sz w:val="18"/>
        </w:rPr>
        <w:t>Wat we ervoor nodig hebben en nu niet hebben: de omvang van de in aanmerking komende populatie in België, een opnamescenario over drie tot vijf jaar, en de meerkost per patiënt uitgesplitst — tweede paar, drukmeting, sensor, educatietijd — tegenover de vermeden zorgkosten.</w:t>
      </w:r>
    </w:p>
    <w:p>
      <w:pPr>
        <w:spacing w:before="260" w:after="80"/>
      </w:pPr>
      <w:r>
        <w:rPr>
          <w:b/>
          <w:color w:val="FF7A00"/>
          <w:sz w:val="22"/>
        </w:rPr>
        <w:t>3  De powervraag — zonder de 144 te heropenen</w:t>
      </w:r>
    </w:p>
    <w:p>
      <w:pPr>
        <w:spacing w:after="80"/>
        <w:ind w:left="397" w:hanging="397"/>
      </w:pPr>
      <w:r>
        <w:rPr>
          <w:b/>
          <w:color w:val="FF7A00"/>
          <w:sz w:val="18"/>
        </w:rPr>
        <w:t xml:space="preserve">a  </w:t>
      </w:r>
      <w:r>
        <w:rPr>
          <w:b/>
          <w:color w:val="1B2630"/>
          <w:sz w:val="18"/>
        </w:rPr>
        <w:t xml:space="preserve">De budgetimpactanalyse heeft géén powerberekening nodig.  </w:t>
      </w:r>
      <w:r>
        <w:rPr>
          <w:b w:val="0"/>
          <w:color w:val="5A6A78"/>
          <w:sz w:val="18"/>
        </w:rPr>
        <w:t>Ze is een deterministische budgetprojectie, geen toetsende analyse. KCE vangt de onzekerheid op met best- en worst-case scenario’s voor de variabelen zonder onderbouwing. Die zorg valt dus helemaal weg.</w:t>
      </w:r>
    </w:p>
    <w:p>
      <w:pPr>
        <w:spacing w:after="80"/>
        <w:ind w:left="397" w:hanging="397"/>
      </w:pPr>
      <w:r>
        <w:rPr>
          <w:b/>
          <w:color w:val="FF7A00"/>
          <w:sz w:val="18"/>
        </w:rPr>
        <w:t xml:space="preserve">b  </w:t>
      </w:r>
      <w:r>
        <w:rPr>
          <w:b/>
          <w:color w:val="1B2630"/>
          <w:sz w:val="18"/>
        </w:rPr>
        <w:t xml:space="preserve">De kostenutiliteit wordt niet gepowerd, en dat hoort ook niet.  </w:t>
      </w:r>
      <w:r>
        <w:rPr>
          <w:b w:val="0"/>
          <w:color w:val="5A6A78"/>
          <w:sz w:val="18"/>
        </w:rPr>
        <w:t>Kostendata zijn scheef met grote spreiding; powerden we daarop, dan was de vereiste steekproef onbetaalbaar. De onzekerheid wordt opgevangen door de probabilistische analyse en de CEAC — daar dient die curve voor. Concreet gevolg: géén p-waarden op kostenverschillen, wel gemiddelden met bootstrap-betrouwbaarheidsintervallen en de gezamenlijke verdeling op het kosteneffectiviteitsvlak.</w:t>
      </w:r>
    </w:p>
    <w:p>
      <w:pPr>
        <w:spacing w:after="80"/>
        <w:ind w:left="397" w:hanging="397"/>
      </w:pPr>
      <w:r>
        <w:rPr>
          <w:b/>
          <w:color w:val="FF7A00"/>
          <w:sz w:val="18"/>
        </w:rPr>
        <w:t xml:space="preserve">c  </w:t>
      </w:r>
      <w:r>
        <w:rPr>
          <w:b/>
          <w:color w:val="1B2630"/>
          <w:sz w:val="18"/>
        </w:rPr>
        <w:t xml:space="preserve">Wat we wél doen: een precisie-uitspraak, geen powerberekening.  </w:t>
      </w:r>
      <w:r>
        <w:rPr>
          <w:b w:val="0"/>
          <w:color w:val="5A6A78"/>
          <w:sz w:val="18"/>
        </w:rPr>
        <w:t>Reken uit welk verschil in QALY’s en in kosten we met 72 per arm kunnen schátten, en met welke marge. Gebruik daarvoor de spreidingen uit DIATEMP — zelfde populatie, zelfde horizon van achttien maanden, staat al in onze referentielijst. Dat levert één zin voor protocol en analyseplan en ondervangt de reviewersvraag, zonder de 144 aan te raken. Het is geen steekproefberekening maar een uitspraak over de haalbare precisie.</w:t>
      </w:r>
    </w:p>
    <w:p>
      <w:pPr>
        <w:spacing w:after="80"/>
        <w:ind w:left="397" w:hanging="397"/>
      </w:pPr>
      <w:r>
        <w:rPr>
          <w:b/>
          <w:color w:val="FF7A00"/>
          <w:sz w:val="18"/>
        </w:rPr>
        <w:t xml:space="preserve">d  </w:t>
      </w:r>
      <w:r>
        <w:rPr>
          <w:b/>
          <w:color w:val="1B2630"/>
          <w:sz w:val="18"/>
        </w:rPr>
        <w:t xml:space="preserve">Optioneel, als je het sterker wil maken.  </w:t>
      </w:r>
      <w:r>
        <w:rPr>
          <w:b w:val="0"/>
          <w:color w:val="5A6A78"/>
          <w:sz w:val="18"/>
        </w:rPr>
        <w:t>Een value-of-information-analyse (EVPI) op het einde: die zegt of de resterende beslissingsonzekerheid verder onderzoek rechtvaardigt. Geen vereiste, wel iets wat een economisch paper onderscheidt.</w:t>
      </w:r>
    </w:p>
    <w:p>
      <w:pPr>
        <w:spacing w:before="260" w:after="80"/>
      </w:pPr>
      <w:r>
        <w:rPr>
          <w:b/>
          <w:color w:val="FF7A00"/>
          <w:sz w:val="22"/>
        </w:rPr>
        <w:t>4  Nog open</w:t>
      </w:r>
    </w:p>
    <w:p>
      <w:pPr>
        <w:spacing w:after="80"/>
        <w:ind w:left="397" w:hanging="397"/>
      </w:pPr>
      <w:r>
        <w:rPr>
          <w:b/>
          <w:color w:val="FF7A00"/>
          <w:sz w:val="18"/>
        </w:rPr>
        <w:t xml:space="preserve">1  </w:t>
      </w:r>
      <w:r>
        <w:rPr>
          <w:b/>
          <w:color w:val="1B2630"/>
          <w:sz w:val="18"/>
        </w:rPr>
        <w:t xml:space="preserve">Mantelzorg staat op drie formulieren.  </w:t>
      </w:r>
      <w:r>
        <w:rPr>
          <w:b w:val="0"/>
          <w:color w:val="5A6A78"/>
          <w:sz w:val="18"/>
        </w:rPr>
        <w:t>eCRF 07 als ja/nee, iMCQ vraag 19 als werkelijk ontvangen uren per soort, iPCQ vraag 12 als hypothetische vervangingsuren. De laatste twee zijn conceptueel verschillend maar kunnen dezelfde uren bevatten. In de maatschappelijke analyse telt dat dubbel.</w:t>
      </w:r>
    </w:p>
    <w:p>
      <w:pPr>
        <w:spacing w:after="80"/>
        <w:ind w:left="397" w:hanging="397"/>
      </w:pPr>
      <w:r>
        <w:rPr>
          <w:b/>
          <w:color w:val="FF7A00"/>
          <w:sz w:val="18"/>
        </w:rPr>
        <w:t xml:space="preserve">2  </w:t>
      </w:r>
      <w:r>
        <w:rPr>
          <w:b/>
          <w:color w:val="1B2630"/>
          <w:sz w:val="18"/>
        </w:rPr>
        <w:t xml:space="preserve">Rapporteren we de ICUR ook gestratificeerd naar therapietrouw?  </w:t>
      </w:r>
      <w:r>
        <w:rPr>
          <w:b w:val="0"/>
          <w:color w:val="5A6A78"/>
          <w:sz w:val="18"/>
        </w:rPr>
        <w:t>Therapietrouw is de vooraf vastgelegde mediator, met een drempel van 80%. Het manuscript stelt vast dat DIAFOS diezelfde voorwaarde ook economisch terugvond, maar belooft geen gestratificeerde analyse. Een betaler wil weten wat hij koopt bij reële therapietrouw.</w:t>
      </w:r>
    </w:p>
    <w:p>
      <w:pPr>
        <w:spacing w:after="80"/>
        <w:ind w:left="397" w:hanging="397"/>
      </w:pPr>
      <w:r>
        <w:rPr>
          <w:b/>
          <w:color w:val="FF7A00"/>
          <w:sz w:val="18"/>
        </w:rPr>
        <w:t xml:space="preserve">3  </w:t>
      </w:r>
      <w:r>
        <w:rPr>
          <w:b/>
          <w:color w:val="1B2630"/>
          <w:sz w:val="18"/>
        </w:rPr>
        <w:t xml:space="preserve">De economische evaluatie is niet apart gepowerd — zetten we dat erbij?  </w:t>
      </w:r>
      <w:r>
        <w:rPr>
          <w:b w:val="0"/>
          <w:color w:val="5A6A78"/>
          <w:sz w:val="18"/>
        </w:rPr>
        <w:t>Noch protocol noch manuscript vermeldt het. Zie sectie 3c voor de formulering.</w:t>
      </w:r>
    </w:p>
    <w:p>
      <w:pPr>
        <w:spacing w:after="80"/>
        <w:ind w:left="397" w:hanging="397"/>
      </w:pPr>
      <w:r>
        <w:rPr>
          <w:b/>
          <w:color w:val="FF7A00"/>
          <w:sz w:val="18"/>
        </w:rPr>
        <w:t xml:space="preserve">4  </w:t>
      </w:r>
      <w:r>
        <w:rPr>
          <w:b/>
          <w:color w:val="1B2630"/>
          <w:sz w:val="18"/>
        </w:rPr>
        <w:t xml:space="preserve">eCRF 33 moet aangepast vóór de versie-lock.  </w:t>
      </w:r>
      <w:r>
        <w:rPr>
          <w:b w:val="0"/>
          <w:color w:val="5A6A78"/>
          <w:sz w:val="18"/>
        </w:rPr>
        <w:t>Het veld “welk paar is onderhouden” biedt Paar 1, Paar 2 en Beide, zonder branching, en het formulier staat in beide armen. Een Usual Care-deelnemer met één paar krijgt dus de vraag welk van twee paren onderhouden is. Branching op de arm toevoegen.</w:t>
      </w:r>
    </w:p>
    <w:p>
      <w:pPr>
        <w:spacing w:before="260" w:after="80"/>
      </w:pPr>
      <w:r>
        <w:rPr>
          <w:b/>
          <w:color w:val="FF7A00"/>
          <w:sz w:val="22"/>
        </w:rPr>
        <w:t>5  Input voor het economisch analyseplan van december</w:t>
      </w:r>
    </w:p>
    <w:p>
      <w:pPr>
        <w:spacing w:after="80"/>
      </w:pPr>
      <w:r>
        <w:rPr>
          <w:b w:val="0"/>
          <w:color w:val="5A6A78"/>
          <w:sz w:val="17"/>
        </w:rPr>
        <w:t>KCE-rapport 400, derde editie mei 2025 — nieuwer dan de editie van 2012.</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3175"/>
            <w:shd w:val="clear" w:fill="1D8DB0"/>
          </w:tcPr>
          <w:p>
            <w:pPr>
              <w:spacing w:before="20" w:after="20"/>
            </w:pPr>
            <w:r>
              <w:rPr>
                <w:b/>
                <w:color w:val="FFFFFF"/>
                <w:sz w:val="16"/>
              </w:rPr>
              <w:t>WAT HET MANUSCRIPT ZEGT</w:t>
            </w:r>
          </w:p>
        </w:tc>
        <w:tc>
          <w:tcPr>
            <w:tcW w:type="dxa" w:w="6690"/>
            <w:shd w:val="clear" w:fill="1D8DB0"/>
          </w:tcPr>
          <w:p>
            <w:pPr>
              <w:spacing w:before="20" w:after="20"/>
            </w:pPr>
            <w:r>
              <w:rPr>
                <w:b/>
                <w:color w:val="FFFFFF"/>
                <w:sz w:val="16"/>
              </w:rPr>
              <w:t>WAT DE RICHTLIJN VRAAGT</w:t>
            </w:r>
          </w:p>
        </w:tc>
      </w:tr>
      <w:tr>
        <w:tc>
          <w:tcPr>
            <w:tcW w:type="dxa" w:w="3175"/>
          </w:tcPr>
          <w:p>
            <w:pPr>
              <w:spacing w:before="20" w:after="20"/>
            </w:pPr>
            <w:r>
              <w:rPr>
                <w:color w:val="1B2630"/>
                <w:sz w:val="17"/>
              </w:rPr>
              <w:t>Disconto “as specified in the guidance”, zonder getallen</w:t>
            </w:r>
          </w:p>
        </w:tc>
        <w:tc>
          <w:tcPr>
            <w:tcW w:type="dxa" w:w="6690"/>
          </w:tcPr>
          <w:p>
            <w:pPr>
              <w:spacing w:before="20" w:after="20"/>
            </w:pPr>
            <w:r>
              <w:rPr>
                <w:color w:val="1B2630"/>
                <w:sz w:val="17"/>
              </w:rPr>
              <w:t>3% kosten, 1,5% effecten. Plus verplichte scenario’s met een gelijke voet van 0%, 3% en 5%.</w:t>
            </w:r>
          </w:p>
        </w:tc>
      </w:tr>
      <w:tr>
        <w:tc>
          <w:tcPr>
            <w:tcW w:type="dxa" w:w="3175"/>
          </w:tcPr>
          <w:p>
            <w:pPr>
              <w:spacing w:before="20" w:after="20"/>
            </w:pPr>
            <w:r>
              <w:rPr>
                <w:color w:val="1B2630"/>
                <w:sz w:val="17"/>
              </w:rPr>
              <w:t>“standard reference prices”</w:t>
            </w:r>
          </w:p>
        </w:tc>
        <w:tc>
          <w:tcPr>
            <w:tcW w:type="dxa" w:w="6690"/>
          </w:tcPr>
          <w:p>
            <w:pPr>
              <w:spacing w:before="20" w:after="20"/>
            </w:pPr>
            <w:r>
              <w:rPr>
                <w:color w:val="1B2630"/>
                <w:sz w:val="17"/>
              </w:rPr>
              <w:t>Gevalideerde bron bij naam, plus valuta en prijsjaar (CHEERS).</w:t>
            </w:r>
          </w:p>
        </w:tc>
      </w:tr>
      <w:tr>
        <w:tc>
          <w:tcPr>
            <w:tcW w:type="dxa" w:w="3175"/>
          </w:tcPr>
          <w:p>
            <w:pPr>
              <w:spacing w:before="20" w:after="20"/>
            </w:pPr>
            <w:r>
              <w:rPr>
                <w:color w:val="1B2630"/>
                <w:sz w:val="17"/>
              </w:rPr>
              <w:t>“where no national value set applies…”</w:t>
            </w:r>
          </w:p>
        </w:tc>
        <w:tc>
          <w:tcPr>
            <w:tcW w:type="dxa" w:w="6690"/>
          </w:tcPr>
          <w:p>
            <w:pPr>
              <w:spacing w:before="20" w:after="20"/>
            </w:pPr>
            <w:r>
              <w:rPr>
                <w:color w:val="1B2630"/>
                <w:sz w:val="17"/>
              </w:rPr>
              <w:t>Achterhaald — er is een Belgische waardeset. Clausule schrappen.</w:t>
            </w:r>
          </w:p>
        </w:tc>
      </w:tr>
      <w:tr>
        <w:tc>
          <w:tcPr>
            <w:tcW w:type="dxa" w:w="3175"/>
          </w:tcPr>
          <w:p>
            <w:pPr>
              <w:spacing w:before="20" w:after="20"/>
            </w:pPr>
            <w:r>
              <w:rPr>
                <w:color w:val="1B2630"/>
                <w:sz w:val="17"/>
              </w:rPr>
              <w:t>Markov, zes toestanden</w:t>
            </w:r>
          </w:p>
        </w:tc>
        <w:tc>
          <w:tcPr>
            <w:tcW w:type="dxa" w:w="6690"/>
          </w:tcPr>
          <w:p>
            <w:pPr>
              <w:spacing w:before="20" w:after="20"/>
            </w:pPr>
            <w:r>
              <w:rPr>
                <w:color w:val="1B2630"/>
                <w:sz w:val="17"/>
              </w:rPr>
              <w:t>Cyclusduur en half-cycle correctie ontbreken; utiliteiten met bron.</w:t>
            </w:r>
          </w:p>
        </w:tc>
      </w:tr>
      <w:tr>
        <w:tc>
          <w:tcPr>
            <w:tcW w:type="dxa" w:w="3175"/>
          </w:tcPr>
          <w:p>
            <w:pPr>
              <w:spacing w:before="20" w:after="20"/>
            </w:pPr>
            <w:r>
              <w:rPr>
                <w:color w:val="1B2630"/>
                <w:sz w:val="17"/>
              </w:rPr>
              <w:t>Horizon van vijf jaar</w:t>
            </w:r>
          </w:p>
        </w:tc>
        <w:tc>
          <w:tcPr>
            <w:tcW w:type="dxa" w:w="6690"/>
          </w:tcPr>
          <w:p>
            <w:pPr>
              <w:spacing w:before="20" w:after="20"/>
            </w:pPr>
            <w:r>
              <w:rPr>
                <w:color w:val="1B2630"/>
                <w:sz w:val="17"/>
              </w:rPr>
              <w:t>Kortere horizonnen als scenario, en motiveren waarom niet levenslang.</w:t>
            </w:r>
          </w:p>
        </w:tc>
      </w:tr>
      <w:tr>
        <w:tc>
          <w:tcPr>
            <w:tcW w:type="dxa" w:w="3175"/>
          </w:tcPr>
          <w:p>
            <w:pPr>
              <w:spacing w:before="20" w:after="20"/>
            </w:pPr>
            <w:r>
              <w:rPr>
                <w:color w:val="1B2630"/>
                <w:sz w:val="17"/>
              </w:rPr>
              <w:t>“healthcare payer perspective”</w:t>
            </w:r>
          </w:p>
        </w:tc>
        <w:tc>
          <w:tcPr>
            <w:tcW w:type="dxa" w:w="6690"/>
          </w:tcPr>
          <w:p>
            <w:pPr>
              <w:spacing w:before="20" w:after="20"/>
            </w:pPr>
            <w:r>
              <w:rPr>
                <w:color w:val="1B2630"/>
                <w:sz w:val="17"/>
              </w:rPr>
              <w:t>Omvat ook het remgeld. De dagboeken vragen dat al.</w:t>
            </w:r>
          </w:p>
        </w:tc>
      </w:tr>
      <w:tr>
        <w:tc>
          <w:tcPr>
            <w:tcW w:type="dxa" w:w="3175"/>
          </w:tcPr>
          <w:p>
            <w:pPr>
              <w:spacing w:before="20" w:after="20"/>
            </w:pPr>
            <w:r>
              <w:rPr>
                <w:color w:val="1B2630"/>
                <w:sz w:val="17"/>
              </w:rPr>
              <w:t>€50 000 per QALY genoemd (bij DIATEMP)</w:t>
            </w:r>
          </w:p>
        </w:tc>
        <w:tc>
          <w:tcPr>
            <w:tcW w:type="dxa" w:w="6690"/>
          </w:tcPr>
          <w:p>
            <w:pPr>
              <w:spacing w:before="20" w:after="20"/>
            </w:pPr>
            <w:r>
              <w:rPr>
                <w:color w:val="1B2630"/>
                <w:sz w:val="17"/>
              </w:rPr>
              <w:t>België heeft geen drempelwaarde. Drempels uit andere landen niet overnemen, aanpassen of indexeren.</w:t>
            </w:r>
          </w:p>
        </w:tc>
      </w:tr>
      <w:tr>
        <w:tc>
          <w:tcPr>
            <w:tcW w:type="dxa" w:w="3175"/>
          </w:tcPr>
          <w:p>
            <w:pPr>
              <w:spacing w:before="20" w:after="20"/>
            </w:pPr>
            <w:r>
              <w:rPr>
                <w:color w:val="1B2630"/>
                <w:sz w:val="17"/>
              </w:rPr>
              <w:t>Niets over ontbrekende data of clustering</w:t>
            </w:r>
          </w:p>
        </w:tc>
        <w:tc>
          <w:tcPr>
            <w:tcW w:type="dxa" w:w="6690"/>
          </w:tcPr>
          <w:p>
            <w:pPr>
              <w:spacing w:before="20" w:after="20"/>
            </w:pPr>
            <w:r>
              <w:rPr>
                <w:color w:val="1B2630"/>
                <w:sz w:val="17"/>
              </w:rPr>
              <w:t>Kosten en QALY’s gézamenlijk imputeren. En met 24 per centrum: hoort het centrum als toevallig effect in het kostenmodel?</w:t>
            </w:r>
          </w:p>
        </w:tc>
      </w:tr>
    </w:tbl>
    <w:p>
      <w:pPr>
        <w:spacing w:before="260" w:after="80"/>
      </w:pPr>
      <w:r>
        <w:rPr>
          <w:b/>
          <w:color w:val="FF7A00"/>
          <w:sz w:val="22"/>
        </w:rPr>
        <w:t>6  Uitgezocht — geen bespreking nodig</w:t>
      </w:r>
    </w:p>
    <w:p>
      <w:pPr>
        <w:spacing w:after="80"/>
        <w:ind w:left="397" w:hanging="397"/>
      </w:pPr>
      <w:r>
        <w:rPr>
          <w:b/>
          <w:color w:val="FF7A00"/>
          <w:sz w:val="18"/>
        </w:rPr>
        <w:t xml:space="preserve">•  </w:t>
      </w:r>
      <w:r>
        <w:rPr>
          <w:b/>
          <w:color w:val="1B2630"/>
          <w:sz w:val="18"/>
        </w:rPr>
        <w:t xml:space="preserve">Nederlands origineel van iMCQ en iPCQ, ongewijzigd.  </w:t>
      </w:r>
      <w:r>
        <w:rPr>
          <w:b w:val="0"/>
          <w:color w:val="5A6A78"/>
          <w:sz w:val="18"/>
        </w:rPr>
        <w:t>Één item is Nederlands-specifiek. Er bestaat geen Belgische versie. De A-sectie dubbelt met eCRF 07 en wordt niet afgenomen — iMTA staat weglaten van irrelevante modules toe.</w:t>
      </w:r>
    </w:p>
    <w:p>
      <w:pPr>
        <w:spacing w:after="80"/>
        <w:ind w:left="397" w:hanging="397"/>
      </w:pPr>
      <w:r>
        <w:rPr>
          <w:b/>
          <w:color w:val="FF7A00"/>
          <w:sz w:val="18"/>
        </w:rPr>
        <w:t xml:space="preserve">•  </w:t>
      </w:r>
      <w:r>
        <w:rPr>
          <w:b/>
          <w:color w:val="1B2630"/>
          <w:sz w:val="18"/>
        </w:rPr>
        <w:t xml:space="preserve">Terugblik blijft vier weken, met extrapolatie.  </w:t>
      </w:r>
      <w:r>
        <w:rPr>
          <w:b w:val="0"/>
          <w:color w:val="5A6A78"/>
          <w:sz w:val="18"/>
        </w:rPr>
        <w:t>Zo schrijft de iMTA-handleiding het voor; langer gaat ten koste van de accuraatheid.</w:t>
      </w:r>
    </w:p>
    <w:p>
      <w:pPr>
        <w:spacing w:after="80"/>
        <w:ind w:left="397" w:hanging="397"/>
      </w:pPr>
      <w:r>
        <w:rPr>
          <w:b/>
          <w:color w:val="FF7A00"/>
          <w:sz w:val="18"/>
        </w:rPr>
        <w:t xml:space="preserve">•  </w:t>
      </w:r>
      <w:r>
        <w:rPr>
          <w:b/>
          <w:color w:val="1B2630"/>
          <w:sz w:val="18"/>
        </w:rPr>
        <w:t xml:space="preserve">Telefonisch afnemen mag.  </w:t>
      </w:r>
      <w:r>
        <w:rPr>
          <w:b w:val="0"/>
          <w:color w:val="5A6A78"/>
          <w:sz w:val="18"/>
        </w:rPr>
        <w:t>Beide handleidingen staan mondelinge afname toe. Voorwaarde: dezelfde afnamewijze in beide armen en over de hele looptijd.</w:t>
      </w:r>
    </w:p>
    <w:p>
      <w:pPr>
        <w:spacing w:after="80"/>
        <w:ind w:left="397" w:hanging="397"/>
      </w:pPr>
      <w:r>
        <w:rPr>
          <w:b/>
          <w:color w:val="FF7A00"/>
          <w:sz w:val="18"/>
        </w:rPr>
        <w:t xml:space="preserve">•  </w:t>
      </w:r>
      <w:r>
        <w:rPr>
          <w:b/>
          <w:color w:val="1B2630"/>
          <w:sz w:val="18"/>
        </w:rPr>
        <w:t xml:space="preserve">De verandering-vraag en de baseline zitten goed in het dagboek.  </w:t>
      </w:r>
      <w:r>
        <w:rPr>
          <w:b w:val="0"/>
          <w:color w:val="5A6A78"/>
          <w:sz w:val="18"/>
        </w:rPr>
        <w:t>45b vraagt voor staande regelingen alleen wat veranderde en noteert nieuwe gebeurtenissen telkens. Dagboek 45 dekt de baseline, met drie maanden terugblik voor consultaties en aankopen.</w:t>
      </w:r>
    </w:p>
    <w:p>
      <w:pPr>
        <w:spacing w:after="80"/>
        <w:ind w:left="397" w:hanging="397"/>
      </w:pPr>
      <w:r>
        <w:rPr>
          <w:b/>
          <w:color w:val="FF7A00"/>
          <w:sz w:val="18"/>
        </w:rPr>
        <w:t xml:space="preserve">•  </w:t>
      </w:r>
      <w:r>
        <w:rPr>
          <w:b/>
          <w:color w:val="1B2630"/>
          <w:sz w:val="18"/>
        </w:rPr>
        <w:t xml:space="preserve">Het protocol wijst het dagboek al als leidend aan.  </w:t>
      </w:r>
      <w:r>
        <w:rPr>
          <w:b w:val="0"/>
          <w:color w:val="5A6A78"/>
          <w:sz w:val="18"/>
        </w:rPr>
        <w:t>Open blijft alleen de regel bij tegenspraak: welke waarde gaat in de kostenberekening?</w:t>
      </w:r>
    </w:p>
    <w:p>
      <w:pPr>
        <w:spacing w:before="200" w:after="0"/>
      </w:pPr>
      <w:r>
        <w:rPr>
          <w:b w:val="0"/>
          <w:color w:val="5A6A78"/>
          <w:sz w:val="15"/>
        </w:rPr>
        <w:t>Bron: manuscript, protocol, eCRF-set, data_dictionary en instrument_event_mapping, en PARADISE_taakverdeling_tot_start.docx, nagekeken 24 september 2026. KCE-rapport 400, richtlijnen 3, 9, 10, 11, 12, 14, 16.3 en 17 tot 25. Afnamewijze en terugblik: iMTA-handleidingen.</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