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w:t>
      </w:r>
      <w:r w:rsidR="00401701">
        <w:rPr>
          <w:lang w:val="en-GB"/>
        </w:rPr>
        <w:t xml:space="preserve">tar stress,</w:t>
      </w:r>
      <w:r w:rsidRPr="00D1417A">
        <w:rPr>
          <w:lang w:val="en-GB"/>
        </w:rPr>
        <w:t xml:space="preserve"> and peripheral artery disease persist unchanged after </w:t>
      </w:r>
      <w:r w:rsidR="00401701">
        <w:rPr>
          <w:lang w:val="en-GB"/>
        </w:rPr>
        <w:t xml:space="preserve">epithelialization</w:t>
      </w:r>
      <w:r w:rsidRPr="00D1417A">
        <w:rPr>
          <w:lang w:val="en-GB"/>
        </w:rPr>
        <w:t xml:space="preserve"> [1]. The proximate mechanism is mechanical</w:t>
      </w:r>
      <w:r w:rsidR="00401701">
        <w:rPr>
          <w:lang w:val="en-GB"/>
        </w:rPr>
        <w:t xml:space="preserve">,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w:t>
      </w:r>
      <w:r w:rsidR="0055219D">
        <w:rPr>
          <w:lang w:val="en-GB"/>
        </w:rPr>
        <w:t xml:space="preserve">However,</w:t>
      </w:r>
      <w:r w:rsidRPr="00D1417A">
        <w:rPr>
          <w:lang w:val="en-GB"/>
        </w:rPr>
        <w:t xml:space="preserve"> the pivotal </w:t>
      </w:r>
      <w:proofErr w:type="spellStart"/>
      <w:r w:rsidR="0055219D">
        <w:rPr>
          <w:lang w:val="en-GB"/>
        </w:rPr>
        <w:t xml:space="preserve">multicenter</w:t>
      </w:r>
      <w:proofErr w:type="spellEnd"/>
      <w:r w:rsidRPr="00D1417A">
        <w:rPr>
          <w:lang w:val="en-GB"/>
        </w:rPr>
        <w:t xml:space="preserve"> </w:t>
      </w:r>
      <w:r w:rsidR="0055219D">
        <w:rPr>
          <w:lang w:val="en-GB"/>
        </w:rPr>
        <w:t xml:space="preserve">randomized</w:t>
      </w:r>
      <w:r w:rsidRPr="00D1417A">
        <w:rPr>
          <w:lang w:val="en-GB"/>
        </w:rPr>
        <w:t xml:space="preserve">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w:t>
      </w:r>
      <w:r w:rsidR="0055219D">
        <w:rPr>
          <w:lang w:val="en-GB"/>
        </w:rPr>
        <w:t xml:space="preserve">Benefits</w:t>
      </w:r>
      <w:r w:rsidRPr="00D1417A">
        <w:rPr>
          <w:lang w:val="en-GB"/>
        </w:rPr>
        <w:t xml:space="preserve"> appeared only among the 46% of participants who wore the footwear as prescribed: recurrence in that subgroup </w:t>
      </w:r>
      <w:r w:rsidRPr="00D1417A">
        <w:rPr>
          <w:lang w:val="en-GB"/>
        </w:rPr>
        <w:lastRenderedPageBreak/>
        <w:t xml:space="preserve">was 25.7% with improved footwear versus 47.8% with usual care (odds ratio 0.38, 95% CI 0.15–0.99, p = 0.045) [5]. </w:t>
      </w:r>
      <w:r w:rsidR="0055219D">
        <w:rPr>
          <w:lang w:val="en-GB"/>
        </w:rPr>
        <w:t xml:space="preserve">Accordingly, the</w:t>
      </w:r>
      <w:r w:rsidRPr="00D1417A">
        <w:rPr>
          <w:lang w:val="en-GB"/>
        </w:rPr>
        <w:t xml:space="preserve"> trial's conclusion was conditional</w:t>
      </w:r>
      <w:r w:rsidR="0055219D">
        <w:rPr>
          <w:lang w:val="en-GB"/>
        </w:rPr>
        <w:t xml:space="preserve">:</w:t>
      </w:r>
      <w:r w:rsidRPr="00D1417A">
        <w:rPr>
          <w:lang w:val="en-GB"/>
        </w:rPr>
        <w:t xml:space="preserve"> improved offloading does not reduce recurrence unless it is worn as recommended [5].</w:t>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[8].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[9]; fewer than one-third of patients wear prescribed footwear more than 80% of the time [5,9].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[10].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[11].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[12].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[1,13].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[14],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[15].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[7].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 xml:space="preserve">its associated effect has been sub</w:t>
      </w:r>
      <w:r w:rsidR="00CC52FA">
        <w:rPr>
          <w:lang w:val="en-GB"/>
        </w:rPr>
        <w:t xml:space="preserve">stantial: the </w:t>
      </w:r>
      <w:r w:rsidRPr="00D1417A">
        <w:rPr>
          <w:lang w:val="en-GB"/>
        </w:rPr>
        <w:t xml:space="preserve">mean risk reduction was 58.1% for adherence to therapeutic footwear and 85.5% for adherence to educational recommendations [1,6].</w:t>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[16].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[5], whereas adherence-monitoring approaches have mainly been evaluated in other healthcare systems, with challenges in implementation reported [14].</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[8].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[17].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[18]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[19]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[20].</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w:t>
      </w:r>
      <w:r w:rsidRPr="00D1417A">
        <w:rPr>
          <w:lang w:val="en-GB"/>
        </w:rPr>
        <w:t xml:space="preserve"> Each participant receives a new pair of custom-made foot orthoses manufactured by a certified pedorthist. Construction comprises a 5 mm total-contact ethylene-vinyl acetate layer, a 3–5 mm medial arch support, a </w:t>
      </w:r>
      <w:proofErr w:type="spellStart"/>
      <w:r w:rsidRPr="00D1417A">
        <w:rPr>
          <w:lang w:val="en-GB"/>
        </w:rPr>
        <w:t xml:space="preserve">transmetatarsal</w:t>
      </w:r>
      <w:proofErr w:type="spellEnd"/>
      <w:r w:rsidRPr="00D1417A">
        <w:rPr>
          <w:lang w:val="en-GB"/>
        </w:rPr>
        <w:t xml:space="preserve"> bar up to 9 mm, local depth relief at fragile or prominent regions, and a top cover of 3 mm closed-cell foam over 3 mm open-cell cushioning foam [3]. In-shoe plantar pressures are measured by the clinical team using the Novel </w:t>
      </w:r>
      <w:proofErr w:type="spellStart"/>
      <w:r w:rsidRPr="00D1417A">
        <w:rPr>
          <w:lang w:val="en-GB"/>
        </w:rPr>
        <w:t xml:space="preserve">pedar</w:t>
      </w:r>
      <w:proofErr w:type="spellEnd"/>
      <w:r w:rsidRPr="00D1417A">
        <w:rPr>
          <w:lang w:val="en-GB"/>
        </w:rPr>
        <w:t xml:space="preserve"> in-shoe system (Novel GmbH, Munich, Germany) with t</w:t>
      </w:r>
      <w:r w:rsidRPr="00D1417A">
        <w:rPr>
          <w:lang w:val="en-GB"/>
        </w:rPr>
        <w:t xml:space="preserve">he novel database software, during repeated ambulation along a 10-metre walkway, acquiring a minimum of twelve mid-gait steps per foot. Sensor insoles are calibrated with the </w:t>
      </w:r>
      <w:proofErr w:type="spellStart"/>
      <w:r w:rsidRPr="00D1417A">
        <w:rPr>
          <w:lang w:val="en-GB"/>
        </w:rPr>
        <w:t xml:space="preserve">trublu</w:t>
      </w:r>
      <w:proofErr w:type="spellEnd"/>
      <w:r w:rsidRPr="00D1417A">
        <w:rPr>
          <w:lang w:val="en-GB"/>
        </w:rPr>
        <w:t xml:space="preserve"> device, loaded to 6 </w:t>
      </w:r>
      <w:proofErr w:type="gramStart"/>
      <w:r w:rsidRPr="00D1417A">
        <w:rPr>
          <w:lang w:val="en-GB"/>
        </w:rPr>
        <w:t xml:space="preserve">bar</w:t>
      </w:r>
      <w:proofErr w:type="gramEnd"/>
      <w:r w:rsidRPr="00D1417A">
        <w:rPr>
          <w:lang w:val="en-GB"/>
        </w:rPr>
        <w:t xml:space="preserve">,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w:t>
      </w:r>
      <w:r w:rsidRPr="00D1417A">
        <w:rPr>
          <w:lang w:val="en-GB"/>
        </w:rPr>
        <w:t xml:space="preserve">on sub-study using the F-Scan GO in-shoe system (Tekscan, Norwood, MA, USA) with </w:t>
      </w:r>
      <w:proofErr w:type="spellStart"/>
      <w:r w:rsidRPr="00D1417A">
        <w:rPr>
          <w:lang w:val="en-GB"/>
        </w:rPr>
        <w:t xml:space="preserve">FootVIEW</w:t>
      </w:r>
      <w:proofErr w:type="spellEnd"/>
      <w:r w:rsidRPr="00D1417A">
        <w:rPr>
          <w:lang w:val="en-GB"/>
        </w:rPr>
        <w:t xml:space="preserve"> Pro software, comparing the two systems; F-Scan GO measurements are performed by the study team only and do not inform </w:t>
      </w:r>
      <w:r w:rsidRPr="00D1417A">
        <w:rPr>
          <w:lang w:val="en-GB"/>
        </w:rPr>
        <w:lastRenderedPageBreak/>
        <w:t xml:space="preserve">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w:t>
      </w:r>
      <w:r w:rsidRPr="00D1417A">
        <w:rPr>
          <w:lang w:val="en-GB"/>
        </w:rPr>
        <w:t xml:space="preserve">orthosis geometry is iteratively modified under in-shoe peak-pressure feedback until in-shoe peak plantar pressure falls below 200 kPa at all previously ulcerated and high-risk </w:t>
      </w:r>
      <w:proofErr w:type="gramStart"/>
      <w:r w:rsidRPr="00D1417A">
        <w:rPr>
          <w:lang w:val="en-GB"/>
        </w:rPr>
        <w:t xml:space="preserve">regions, or</w:t>
      </w:r>
      <w:proofErr w:type="gramEnd"/>
      <w:r w:rsidRPr="00D1417A">
        <w:rPr>
          <w:lang w:val="en-GB"/>
        </w:rPr>
        <w:t xml:space="preserve"> is reduced by at least 25% from the participant's own baseline, whichever is achieved first. Achieved pressure reduction is recorded for every participant and reported as a fidelity measure, so that a null clinical result can be interpreted against the offloading </w:t>
      </w:r>
      <w:proofErr w:type="gramStart"/>
      <w:r w:rsidRPr="00D1417A">
        <w:rPr>
          <w:lang w:val="en-GB"/>
        </w:rPr>
        <w:t xml:space="preserve">actually delivered</w:t>
      </w:r>
      <w:proofErr w:type="gramEnd"/>
      <w:r w:rsidRPr="00D1417A">
        <w:rPr>
          <w:lang w:val="en-GB"/>
        </w:rPr>
        <w:t xml:space="preserve"> rather than the offloading intended.</w:t>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[21]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[9]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[22];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[23],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[24].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[1,13],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[25];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[26];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[5,9],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[9]. Anticipating an increase to 85% under PARADISE — comparable in magnitude to the improvement observed when adherence was actively targeted in prior work [27]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[11],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[28],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[29].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[29].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[30].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[31].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[32],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 xml:space="preserve">five years,</w:t>
      </w:r>
      <w:r w:rsidRPr="00D1417A">
        <w:rPr>
          <w:lang w:val="en-GB"/>
        </w:rPr>
        <w:t xml:space="preserve"> assuming adherence [33], and cost-effective over a lifetime horizon at under $25,000 per QALY gained [34]. A trial-based evaluation of at-home temperature monitoring in the same population and over the same 18-month horizon reported an ICER of €−11,580 per ulcer prevented with a 79% probability of cost-effectiveness [35]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[36]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[17].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[14] </w:t>
      </w:r>
      <w:r w:rsidRPr="00D1417A">
        <w:rPr>
          <w:lang w:val="en-GB"/>
        </w:rPr>
        <w:t xml:space="preserve">but implemented with only moderate success where it has been tried [14]. Continuous digital pressure feedback reduced recurrence in a proof-of-concept trial, again principally among adherent users [8].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w:t>
      </w:r>
      <w:r w:rsidRPr="00D1417A">
        <w:rPr>
          <w:lang w:val="en-GB"/>
        </w:rPr>
        <w:t xml:space="preserve">rence [1,13]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[11], and the strongest evidence linking it to future ulceration remains observational and twelve months long [12].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[11];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Sacco ICN, Monteiro-Soares M, Raspovic A, Paton J, Rasmussen A, et al. Guidelines on the prevention of foot ulcers in persons with diabetes (IWGDF 2023 update). Diabetes Metab Res Rev. 2024;40(3):e3651. doi:10.1002/dmrr.3651</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van Netten JJ, Price PE, Lavery LA, Monteiro-Soares M, Rasmussen A, Jubiz Y, et al. Prevention of foot ulcers in the at-risk patient with diabetes: a systematic review. Diabetes Metab Res Rev. 2016;32(Suppl 1):84–98.</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Lincoln NB, Radford KA, Game FL, Jeffcoate WJ. Education for secondary prevention of foot ulcers in people with diabetes: a randomised controlled trial. Diabetologia. 2008;51(11):1954–1961.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van Netten JJ, van Baal JG, Bril A, Wissink M, Bus SA. An exploratory study on differences in cumulative plantar tissue stress between healing and non-healing plantar neuropathic diabetic foot ulcers. Clin Biomech. 2018;53:86–92.</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Busch-Westbroek TE, van Netten JJ, Bus SA,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Waaijman R, de Haart M, Arts MLJ, Wever D, Verlouw AJWE, Nollet F, et al. Risk factors for plantar foot ulcer recurrence in neuropathic diabetic patients. Diabetes Care. 2014;37(6):1697–1705.</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Lutjeboer T, van Netten JJ, Postema K, Hijmans JM. Validity and feasibility of a temperature sensor for measuring use and non-use of orthopaedic footwear. J Rehabil Med. 2018;50(10):920–926.</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Morbach S, Kersken J, Lobmann R, Nobels F, Doggen K, Van Acker K. The German and Belgian accreditation models for diabetic foot services. Diabetes Metab Res Rev. 2016;32(Suppl 1):318–325.</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Chan A-W, Boutron I, Hopewell S, Moher D, Schulz KF, Collins GS, et al. SPIRIT 2025 statement: updated guideline for protocols of randomised trials. BMJ. 2025;389:e081477. doi:10.1136/bmj-2024-081477</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Loudon K, Treweek S, Sullivan F, Donnan PT, Thorpe KE, Zwarenstein M. The PRECIS-2 tool: designing trials that are fit for purpose. BMJ. 2015;350:h2147. doi:10.1136/bmj.h2147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Hopewell S, Chan A-W, Collins GS, Hróbjartsson A, Moher D, Schulz KF, et al. CONSORT 2025 statement: updated guideline for reporting randomised trials. BMJ. 2025;389:e081123. doi:10.1136/bmj-2024-081123</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Lincoln NB, Jeffcoate WJ, Ince P, Smith M, Radford KA. Validation of a new measure of protective footcare behaviour: the Nottingham Assessment of Functional Footcare (NAFF). Practical Diabetes International. 2007;24(4):207–211. doi:10.1002/pdi.1099</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Zwaferink JBJ, Nollet F, Bus SA. In-shoe pressure measurements in diabetic footwear practice: success rate and facilitators of and barriers to implementation. Sensors. 2024;24(6):1795. doi:10.3390/s24061795</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Dahmen R, Siemonsma PC, Monteiro S, Roorda LD, Lankhorst GJ, Boers M. Evaluation of the wear-and-tear scale for therapeutic footwear: results of a generalizability study. J Rehabil Med. 2018;50(6):569–574. doi:10.2340/16501977-2339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Staniszewska A, Jones A, Davies L, Game F, Nixon J, Russell D, et al. Development of a core descriptor set for studies assessing interventions for diabetes-related foot ulcers Diabetologia. 2026. doi:10.1007/s00125-026-06815-1</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Husereau D, Drummond M, Petrou S, Carswell C, Moher D, Greenberg D, et al. Consolidated Health Economic Evaluation Reporting Standards (CHEERS) statement. Pharmacoeconomics. 2013;31(5):361–367. doi:10.1007/s40273-013-0032-y</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Hakkaart-van Roijen L, Peeters S, Kanters T. Kostenhandleiding voor economische evaluaties in de gezondheidszorg: methodologie en referentieprijzen. Diemen: Zorginstituut Nederland; 2024.</w:t>
      </w:r>
    </w:p>
    <w:p ns2:paraId="11F664E0" ns2:textId="77777777" w:rsidR="00D47670" w:rsidRDefault="00A02229">
      <w:pPr>
        <w:spacing w:after="100"/>
        <w:ind w:left="454" w:hanging="454"/>
      </w:pPr>
      <w:r w:rsidRPr="00D1417A">
        <w:rPr>
          <w:sz w:val="20"/>
          <w:szCs w:val="20"/>
          <w:lang w:val="en-GB"/>
        </w:rPr>
        <w:t xml:space="preserve">32. Prompers L, Huijberts M, Schaper N, Apelqvist J, Bakker K, Edmonds M, et al. Resource utilisation and costs associated with the treatment of diabetic foot ulcers. Prospective data from the Eurodiale Study. Diabetologia. 2008;51(10):1826–1834. doi:10.1007/s00125-008-1089-6</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Ragnarson Tennvall G, Apelqvist J. Prevention of diabetes-related foot ulcers and amputations: a cost-utility analysis based on Markov model simulations. Diabetologia. 2001;44(11):2077–2087. doi:10.1007/s001250100013</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Ortegon MM, Redekop WK, Niessen LW. Cost-effectiveness of prevention and treatment of the diabetic foot: a Markov analysis. Diabetes Care. 2004;27(4):901–907. doi:10.2337/diacare.27.4.901</w:t>
      </w:r>
    </w:p>
    <w:p ns2:paraId="11F664E3" ns2:textId="77777777" w:rsidR="00D47670" w:rsidRPr="00D1417A" w:rsidRDefault="00A02229">
      <w:pPr>
        <w:rPr>
          <w:lang w:val="en-GB"/>
        </w:rPr>
      </w:pPr>
      <w:r w:rsidRPr="00D1417A">
        <w:rPr>
          <w:sz w:val="20"/>
          <w:lang w:val="en-GB"/>
        </w:rPr>
        <w:t xml:space="preserve">35. van Netten JJ, aan de Stegge WB, Dijkgraaf MGW, Bus SA. Cost-effectiveness of temperature monitoring to help prevent foot ulcer recurrence in people with diabetes: a multicenter randomized controlled trial. Diabetes Metab Res Rev. 2024;40(4):e3805. doi:10.1002/dmrr.3805</w:t>
      </w:r>
    </w:p>
    <w:p ns2:paraId="11F664E4" ns2:textId="7685600F" w:rsidR="00D47670" w:rsidRPr="00D1417A" w:rsidRDefault="00A02229">
      <w:pPr>
        <w:rPr>
          <w:lang w:val="en-GB"/>
        </w:rPr>
      </w:pPr>
      <w:r w:rsidRPr="00D1417A">
        <w:rPr>
          <w:sz w:val="20"/>
          <w:lang w:val="en-GB"/>
        </w:rPr>
        <w:t xml:space="preserve">36.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