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30B0" w14:textId="2588B574" w:rsidR="00F943CF" w:rsidRPr="004A5949" w:rsidRDefault="00C22F06" w:rsidP="0073481C">
      <w:pPr>
        <w:spacing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GB"/>
        </w:rPr>
      </w:pPr>
      <w:r w:rsidRPr="004A5949">
        <w:rPr>
          <w:b/>
          <w:bCs/>
          <w:color w:val="123A5F"/>
          <w:sz w:val="28"/>
          <w:szCs w:val="28"/>
          <w:lang w:val="en-GB"/>
        </w:rPr>
        <w:t>eCRF Document 01: Screening-before-consent form</w:t>
      </w:r>
    </w:p>
    <w:p w14:paraId="7EF2A91D" w14:textId="72C2C3E0" w:rsidR="00C22F06" w:rsidRPr="004A5949" w:rsidRDefault="00262FCE" w:rsidP="0073481C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  <w:lang w:val="en-GB"/>
        </w:rPr>
      </w:pPr>
      <w:proofErr w:type="spellStart"/>
      <w:r w:rsidRPr="004A5949">
        <w:rPr>
          <w:b/>
          <w:bCs/>
          <w:color w:val="123A5F"/>
          <w:sz w:val="24"/>
          <w:szCs w:val="24"/>
          <w:lang w:val="en-GB"/>
        </w:rPr>
        <w:t>Referentie</w:t>
      </w:r>
      <w:proofErr w:type="spellEnd"/>
      <w:r w:rsidR="004A5949">
        <w:rPr>
          <w:b/>
          <w:bCs/>
          <w:color w:val="123A5F"/>
          <w:sz w:val="24"/>
          <w:szCs w:val="24"/>
          <w:lang w:val="en-GB"/>
        </w:rPr>
        <w:t xml:space="preserve"> patient</w:t>
      </w:r>
      <w:r w:rsidR="00C22F06" w:rsidRPr="004A5949">
        <w:rPr>
          <w:b/>
          <w:bCs/>
          <w:color w:val="123A5F"/>
          <w:sz w:val="24"/>
          <w:szCs w:val="24"/>
          <w:lang w:val="en-GB"/>
        </w:rPr>
        <w:t xml:space="preserve">: </w:t>
      </w:r>
      <w:r w:rsidRPr="004A5949">
        <w:rPr>
          <w:color w:val="24303B"/>
          <w:lang w:val="en-GB"/>
        </w:rPr>
        <w:tab/>
      </w:r>
    </w:p>
    <w:p w14:paraId="3E4EB280" w14:textId="5E387EA3" w:rsidR="00C22F06" w:rsidRPr="00367CBB" w:rsidRDefault="00C22F06" w:rsidP="009431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Da</w:t>
      </w:r>
      <w:r w:rsidR="00262FCE" w:rsidRPr="00367CBB">
        <w:rPr>
          <w:b/>
          <w:bCs/>
          <w:color w:val="123A5F"/>
          <w:sz w:val="24"/>
          <w:szCs w:val="24"/>
        </w:rPr>
        <w:t>tum</w:t>
      </w:r>
      <w:r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077FE38B" w14:textId="31EC3D12" w:rsidR="00C22F06" w:rsidRPr="003D0A92" w:rsidRDefault="00262FCE" w:rsidP="003D0A92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Onderzoeker</w:t>
      </w:r>
      <w:r w:rsidR="00C22F06"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64D9EDD2" w14:textId="77777777" w:rsidR="004475F9" w:rsidRPr="00367CBB" w:rsidRDefault="004475F9" w:rsidP="009431A3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Geschiktheidscriteria</w:t>
      </w:r>
    </w:p>
    <w:p w14:paraId="40C80921" w14:textId="347F95A1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  <w:b/>
        </w:rPr>
      </w:pPr>
      <w:r w:rsidRPr="00367CBB">
        <w:rPr>
          <w:b/>
          <w:color w:val="123A5F"/>
        </w:rPr>
        <w:t>Inclusiecriteria</w:t>
      </w:r>
    </w:p>
    <w:p w14:paraId="0D047997" w14:textId="77777777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</w:rPr>
      </w:pPr>
      <w:r w:rsidRPr="00367CBB">
        <w:rPr>
          <w:color w:val="24303B"/>
        </w:rPr>
        <w:t>Patiënten met diabetes worden gerekruteerd volgens de volgende criteria: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FF4562" w:rsidRPr="00367CBB" w14:paraId="6BF4FEBE" w14:textId="77777777" w:rsidTr="3A1FD599">
        <w:tc>
          <w:tcPr>
            <w:tcW w:w="567" w:type="dxa"/>
          </w:tcPr>
          <w:p w14:paraId="093D2C69" w14:textId="550A3466" w:rsidR="006721FC" w:rsidRPr="00367CBB" w:rsidRDefault="00057B77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ADD6EEC" w14:textId="53F354A9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Volwassen Nederlandstalige patiënten (of patiënten die Nederlands begrijpen) ≥ 18 jaar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646E089C" w14:textId="77777777" w:rsidTr="3A1FD599">
        <w:tc>
          <w:tcPr>
            <w:tcW w:w="567" w:type="dxa"/>
          </w:tcPr>
          <w:p w14:paraId="30DDA2E7" w14:textId="1A34A40D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1BF56B4" w14:textId="7AB02E76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Diabetes mellitus type 1 of 2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Risicovoet (categorie 3) met een recent genezen plantair voetulcus, of een partiële voetamputatie (één of meerdere tenen, inclusief de hallux), of resectie van één of meerdere metatarsaalkoppen — de eerste inbegrepen — in de afgelopen 18 maanden tot 2 weken vóór inclusie.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Stabiele vaatstatus naar klinisch oordeel van de behandelende artsen.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0AC65F8B" w14:textId="77777777" w:rsidTr="3A1FD599">
        <w:tc>
          <w:tcPr>
            <w:tcW w:w="567" w:type="dxa"/>
          </w:tcPr>
          <w:p w14:paraId="39C41D40" w14:textId="6A595257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3A2E20A" w14:textId="730F45E0" w:rsidR="006721FC" w:rsidRPr="00367CBB" w:rsidRDefault="00A27939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In staat om zelfstandig en zonder hulpmiddelen op blote voeten te stappen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01B3AF1B" w14:textId="77777777" w:rsidTr="3A1FD599">
        <w:tc>
          <w:tcPr>
            <w:tcW w:w="567" w:type="dxa"/>
          </w:tcPr>
          <w:p w14:paraId="774C1D07" w14:textId="7FB8CD83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E0284F6" w14:textId="5E6CE6B2" w:rsidR="006721FC" w:rsidRPr="00367CBB" w:rsidRDefault="00367CBB" w:rsidP="00DE35BB">
            <w:pPr>
              <w:spacing w:line="360" w:lineRule="auto"/>
              <w:rPr>
                <w:rFonts w:ascii="Calibri" w:hAnsi="Calibri" w:cs="Calibri"/>
              </w:rPr>
            </w:pPr>
            <w:r w:rsidRPr="3A1FD599">
              <w:rPr>
                <w:color w:val="24303B"/>
              </w:rPr>
              <w:t xml:space="preserve">Beschikt over beschermend schoeisel dat volledig op maat gemaakt is (‘orthopedisch schoeisel’) of bestaat uit op maat gemaakte voetzolen gedragen in semi-orthopedisch schoeisel of adequate confectieschoenen met extra diepte. </w:t>
            </w:r>
            <w:proofErr w:type="gramStart"/>
            <w:r w:rsidRPr="3A1FD599">
              <w:rPr>
                <w:color w:val="24303B"/>
              </w:rPr>
              <w:t>Indien</w:t>
            </w:r>
            <w:proofErr w:type="gramEnd"/>
            <w:r w:rsidRPr="3A1FD599">
              <w:rPr>
                <w:color w:val="24303B"/>
              </w:rPr>
              <w:t xml:space="preserve"> de patiënt nog niet over dergelijk schoeisel beschikt, moet hij/zij bereid zijn om over te schakelen naar dergelijk beschermend schoeisel (</w:t>
            </w:r>
            <w:proofErr w:type="gramStart"/>
            <w:r w:rsidRPr="3A1FD599">
              <w:rPr>
                <w:color w:val="24303B"/>
              </w:rPr>
              <w:t>reeds</w:t>
            </w:r>
            <w:proofErr w:type="gramEnd"/>
            <w:r w:rsidRPr="3A1FD599">
              <w:rPr>
                <w:color w:val="24303B"/>
              </w:rPr>
              <w:t xml:space="preserve"> terugbetaald door het RIZIV-INAMI).</w:t>
            </w:r>
          </w:p>
        </w:tc>
      </w:tr>
    </w:tbl>
    <w:p w14:paraId="54472B02" w14:textId="77777777" w:rsidR="009431A3" w:rsidRDefault="009431A3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71772009" w14:textId="77777777" w:rsidR="0073481C" w:rsidRPr="009431A3" w:rsidRDefault="0073481C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65E28A07" w14:textId="04D96398" w:rsidR="00C22F06" w:rsidRPr="004A5949" w:rsidRDefault="009431A3" w:rsidP="00C22F06">
      <w:pPr>
        <w:spacing w:before="120" w:after="0" w:line="240" w:lineRule="auto"/>
        <w:contextualSpacing/>
        <w:rPr>
          <w:rFonts w:ascii="Calibri" w:hAnsi="Calibri" w:cs="Calibri"/>
          <w:b/>
          <w:bCs/>
        </w:rPr>
      </w:pPr>
      <w:r w:rsidRPr="004A5949">
        <w:rPr>
          <w:b/>
          <w:bCs/>
          <w:color w:val="123A5F"/>
        </w:rPr>
        <w:t>Exclusiecriteria</w:t>
      </w:r>
    </w:p>
    <w:p w14:paraId="637C55A8" w14:textId="77777777" w:rsidR="00B118EF" w:rsidRDefault="00B118EF" w:rsidP="00AF0C26">
      <w:pPr>
        <w:spacing w:line="240" w:lineRule="auto"/>
        <w:jc w:val="both"/>
        <w:rPr>
          <w:rFonts w:ascii="Calibri" w:hAnsi="Calibri" w:cs="Calibri"/>
        </w:rPr>
      </w:pPr>
      <w:r w:rsidRPr="00AF0C26">
        <w:rPr>
          <w:color w:val="24303B"/>
        </w:rPr>
        <w:t xml:space="preserve">Patiënten met diabetes worden uitgesloten </w:t>
      </w:r>
      <w:proofErr w:type="gramStart"/>
      <w:r w:rsidRPr="00AF0C26">
        <w:rPr>
          <w:color w:val="24303B"/>
        </w:rPr>
        <w:t>indien</w:t>
      </w:r>
      <w:proofErr w:type="gramEnd"/>
      <w:r w:rsidRPr="00AF0C26">
        <w:rPr>
          <w:color w:val="24303B"/>
        </w:rPr>
        <w:t xml:space="preserve"> zij: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AF0C26" w:rsidRPr="00367CBB" w14:paraId="4FE7A796" w14:textId="77777777" w:rsidTr="00FF4562">
        <w:tc>
          <w:tcPr>
            <w:tcW w:w="567" w:type="dxa"/>
          </w:tcPr>
          <w:p w14:paraId="6A942071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FAD8C2E" w14:textId="19F76E04" w:rsidR="00AF0C26" w:rsidRPr="00367CBB" w:rsidRDefault="00C34113" w:rsidP="00E72F28">
            <w:pPr>
              <w:spacing w:line="360" w:lineRule="auto"/>
              <w:rPr>
                <w:rFonts w:ascii="Calibri" w:hAnsi="Calibri" w:cs="Calibri"/>
              </w:rPr>
            </w:pPr>
            <w:r w:rsidRPr="00C34113">
              <w:rPr>
                <w:color w:val="24303B"/>
              </w:rPr>
              <w:t xml:space="preserve">Een amputatie hebben ondergaan proximaal van de </w:t>
            </w:r>
            <w:proofErr w:type="spellStart"/>
            <w:r w:rsidRPr="00C34113">
              <w:rPr>
                <w:color w:val="24303B"/>
              </w:rPr>
              <w:t>metatarsofalangeale</w:t>
            </w:r>
            <w:proofErr w:type="spellEnd"/>
            <w:r w:rsidRPr="00C34113">
              <w:rPr>
                <w:color w:val="24303B"/>
              </w:rPr>
              <w:t xml:space="preserve"> gewrichten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actief voetzweer of een Charcot-deformiteit hebben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Vaatstatus PEDIS graad 3, kritische ischemie: enkelsystoledruk &lt; 50 mmHg, of teensystoledruk &lt; 30 mmHg, of TcpO₂ &lt; 30 mmHg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Nierfunctievervangende therapie (dialyse) ondergaan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Immunosuppressieve therapie ondergaan</w:t>
            </w:r>
          </w:p>
        </w:tc>
      </w:tr>
      <w:tr w:rsidR="00AF0C26" w:rsidRPr="00367CBB" w14:paraId="7675C801" w14:textId="77777777" w:rsidTr="00FF4562">
        <w:tc>
          <w:tcPr>
            <w:tcW w:w="567" w:type="dxa"/>
          </w:tcPr>
          <w:p w14:paraId="40C8E6AB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645FFDD" w14:textId="27D10FBC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ernstige aandoening hebben die de overleving binnen 18 maanden beperkt (beoordeeld door de behandelende arts)</w:t>
            </w:r>
          </w:p>
        </w:tc>
      </w:tr>
      <w:tr w:rsidR="00AF0C26" w:rsidRPr="00367CBB" w14:paraId="7729A055" w14:textId="77777777" w:rsidTr="00FF4562">
        <w:tc>
          <w:tcPr>
            <w:tcW w:w="567" w:type="dxa"/>
          </w:tcPr>
          <w:p w14:paraId="1F86BEFC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F597D53" w14:textId="1DBCAD07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Niet in staat zijn om toestemming te geven of de studie-instructies te volgen</w:t>
            </w:r>
          </w:p>
        </w:tc>
      </w:tr>
      <w:tr w:rsidR="00113558" w:rsidRPr="00367CBB" w14:paraId="4C250FDD" w14:textId="77777777" w:rsidTr="00FF4562">
        <w:tc>
          <w:tcPr>
            <w:tcW w:w="567" w:type="dxa"/>
          </w:tcPr>
          <w:p w14:paraId="20556B78" w14:textId="1F6C60D9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8089411" w14:textId="2BA58DA9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Hulpmiddelen gebruiken die de toepassing van druksensoren beperken (bv. enkel-voetorthese)</w:t>
            </w:r>
          </w:p>
        </w:tc>
      </w:tr>
      <w:tr w:rsidR="00113558" w:rsidRPr="00367CBB" w14:paraId="05ED945D" w14:textId="77777777" w:rsidTr="00FF4562">
        <w:tc>
          <w:tcPr>
            <w:tcW w:w="567" w:type="dxa"/>
          </w:tcPr>
          <w:p w14:paraId="2DFCD6EA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57CD9C2F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Weigeren het voorgeschreven beschermend schoeisel te dragen, of weigeren de draagsensor (Orthotimer) in de voetorthese</w:t>
            </w:r>
          </w:p>
        </w:tc>
      </w:tr>
      <w:tr w:rsidR="00113558" w:rsidRPr="00367CBB" w14:paraId="34EFD1F4" w14:textId="77777777" w:rsidTr="00FF4562">
        <w:tc>
          <w:tcPr>
            <w:tcW w:w="567" w:type="dxa"/>
          </w:tcPr>
          <w:p w14:paraId="6D3BC2F4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D580E09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Gelijktijdig deelnemen aan een andere klinische studie</w:t>
            </w:r>
          </w:p>
        </w:tc>
      </w:tr>
    </w:tbl>
    <w:p w14:paraId="10D86868" w14:textId="77777777" w:rsidR="00FF4562" w:rsidRDefault="00FF4562" w:rsidP="00C22F06">
      <w:pPr>
        <w:spacing w:line="240" w:lineRule="auto"/>
        <w:jc w:val="both"/>
        <w:rPr>
          <w:rFonts w:ascii="Calibri" w:hAnsi="Calibri" w:cs="Calibri"/>
          <w:b/>
          <w:bCs/>
        </w:rPr>
      </w:pPr>
    </w:p>
    <w:p w14:paraId="24373F82" w14:textId="5B922669" w:rsidR="00C22F06" w:rsidRPr="00367CBB" w:rsidRDefault="00CA4254" w:rsidP="00C22F0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CA4254">
        <w:rPr>
          <w:b/>
          <w:bCs/>
          <w:color w:val="123A5F"/>
        </w:rPr>
        <w:t>Motivatie voor exclusie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2F06" w:rsidRPr="00367CBB" w14:paraId="423BBEA6" w14:textId="77777777" w:rsidTr="00E50D99">
        <w:trPr>
          <w:trHeight w:val="454"/>
        </w:trPr>
        <w:tc>
          <w:tcPr>
            <w:tcW w:w="9016" w:type="dxa"/>
          </w:tcPr>
          <w:p w14:paraId="768C3511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7BDCBB0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5DFF93BE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30D3D3A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496AF878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27CAEEC9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623FBCD2" w14:textId="77777777" w:rsidR="00E50D99" w:rsidRPr="00367CBB" w:rsidRDefault="00E50D99" w:rsidP="00E72F28">
            <w:pPr>
              <w:rPr>
                <w:rFonts w:ascii="Calibri" w:hAnsi="Calibri" w:cs="Calibri"/>
              </w:rPr>
            </w:pPr>
          </w:p>
        </w:tc>
      </w:tr>
    </w:tbl>
    <w:p w14:paraId="0293A539" w14:textId="77777777" w:rsidR="00E13A59" w:rsidRDefault="00E13A59" w:rsidP="00E50D99"/>
    <w:sectPr w:rsidR="00E13A59" w:rsidSect="00B669E4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E33C" w14:textId="77777777" w:rsidR="00FB4A13" w:rsidRPr="004475F9" w:rsidRDefault="00FB4A13" w:rsidP="00F65961">
      <w:pPr>
        <w:spacing w:after="0" w:line="240" w:lineRule="auto"/>
      </w:pPr>
    </w:p>
  </w:endnote>
  <w:endnote w:type="continuationSeparator" w:id="0">
    <w:p w14:paraId="1337F65E" w14:textId="77777777" w:rsidR="00FB4A13" w:rsidRPr="004475F9" w:rsidRDefault="00FB4A13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01: Screening voor toestemming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8316" w14:textId="77777777" w:rsidR="00FB4A13" w:rsidRPr="004475F9" w:rsidRDefault="00FB4A13" w:rsidP="00F65961">
      <w:pPr>
        <w:spacing w:after="0" w:line="240" w:lineRule="auto"/>
      </w:pPr>
    </w:p>
  </w:footnote>
  <w:footnote w:type="continuationSeparator" w:id="0">
    <w:p w14:paraId="3B20B112" w14:textId="77777777" w:rsidR="00FB4A13" w:rsidRPr="004475F9" w:rsidRDefault="00FB4A13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06C6"/>
    <w:rsid w:val="00057B77"/>
    <w:rsid w:val="000E7B4C"/>
    <w:rsid w:val="00113558"/>
    <w:rsid w:val="00170158"/>
    <w:rsid w:val="00171254"/>
    <w:rsid w:val="0018199E"/>
    <w:rsid w:val="00262FCE"/>
    <w:rsid w:val="002C3181"/>
    <w:rsid w:val="00344170"/>
    <w:rsid w:val="003539DF"/>
    <w:rsid w:val="0035570B"/>
    <w:rsid w:val="0036138B"/>
    <w:rsid w:val="00367CBB"/>
    <w:rsid w:val="00393190"/>
    <w:rsid w:val="003C3562"/>
    <w:rsid w:val="003D0A92"/>
    <w:rsid w:val="004475F9"/>
    <w:rsid w:val="004A5949"/>
    <w:rsid w:val="005D0B10"/>
    <w:rsid w:val="006721FC"/>
    <w:rsid w:val="00711066"/>
    <w:rsid w:val="0073481C"/>
    <w:rsid w:val="00737223"/>
    <w:rsid w:val="00795DD0"/>
    <w:rsid w:val="008020F9"/>
    <w:rsid w:val="008131E7"/>
    <w:rsid w:val="00813349"/>
    <w:rsid w:val="00861FA8"/>
    <w:rsid w:val="008A20A9"/>
    <w:rsid w:val="00926FCD"/>
    <w:rsid w:val="009431A3"/>
    <w:rsid w:val="00A27939"/>
    <w:rsid w:val="00A44462"/>
    <w:rsid w:val="00AF0C26"/>
    <w:rsid w:val="00B118EF"/>
    <w:rsid w:val="00B14BAC"/>
    <w:rsid w:val="00B669E4"/>
    <w:rsid w:val="00B9635A"/>
    <w:rsid w:val="00C02045"/>
    <w:rsid w:val="00C22F06"/>
    <w:rsid w:val="00C34113"/>
    <w:rsid w:val="00C80926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B4A13"/>
    <w:rsid w:val="00FF4562"/>
    <w:rsid w:val="18F3B856"/>
    <w:rsid w:val="3A1FD599"/>
    <w:rsid w:val="544EB736"/>
    <w:rsid w:val="64B0918D"/>
    <w:rsid w:val="77CA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'1.0' encoding='UTF-8' standalone='yes'?>
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04EDE8-E59A-4848-8DF7-5294751101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CF86F-8ED8-4A58-A058-418E01480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7F3013-63E9-429B-AB65-C3A969D655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56</cp:revision>
  <dcterms:created xsi:type="dcterms:W3CDTF">2026-03-30T09:35:00Z</dcterms:created>
  <dcterms:modified xsi:type="dcterms:W3CDTF">2026-07-29T08:17:00Z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