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b w:val="0"/>
              </w:rPr>
              <w:t xml:space="preserve">The </w:t>
            </w:r>
            <w:r w:rsidRPr="00273BD4">
              <w:rPr>
                <w:rFonts w:ascii="Calibri" w:hAnsi="Calibri" w:cs="Calibri"/>
                <w:b/>
                <w:bCs/>
              </w:rPr>
              <w:t>primary endpoint</w:t>
            </w:r>
            <w:r w:rsidR="008D5F13" w:rsidRPr="00273BD4">
              <w:rPr>
                <w:rFonts w:ascii="Calibri" w:hAnsi="Calibri" w:cs="Calibri"/>
                <w:b w:val="0"/>
              </w:rPr>
              <w:t xml:space="preserve"> is the incidence of foot ulceration over an 18-month follow-up period. The </w:t>
            </w:r>
            <w:r w:rsidRPr="00273BD4">
              <w:rPr>
                <w:rFonts w:ascii="Calibri" w:hAnsi="Calibri" w:cs="Calibri"/>
                <w:b/>
              </w:rPr>
              <w:t>secondary endpoints</w:t>
            </w:r>
            <w:r w:rsidR="008D5F13" w:rsidRPr="00273BD4">
              <w:rPr>
                <w:rFonts w:ascii="Calibri" w:hAnsi="Calibri" w:cs="Calibri"/>
                <w:b w:val="0"/>
              </w:rPr>
              <w:t xml:space="preserve"> are: footwear adherence to prescribed protective footwear, assessed every 3 months up to 18 months, which also serves as the pre-specified mediator; cost-effectiveness of the PARADISE intervention compared with usual care over the 18-month follow-up period; and process evaluation outcomes related to implementation, including fidelity, dose, reach, adaptations, and quality of delivery, assessed longitudinally throughout the study.</w:t>
            </w:r>
            <w:r w:rsidRPr="00273BD4">
              <w:rPr>
                <w:rFonts w:ascii="Calibri" w:hAnsi="Calibri" w:cs="Calibri"/>
              </w:rPr>
            </w:r>
            <w:r w:rsidR="008D5F13" w:rsidRPr="00273BD4">
              <w:rPr>
                <w:rFonts w:ascii="Calibri" w:hAnsi="Calibri" w:cs="Calibri"/>
              </w:rPr>
            </w:r>
            <w:r w:rsidRPr="00273BD4">
              <w:rPr>
                <w:rFonts w:ascii="Calibri" w:hAnsi="Calibri" w:cs="Calibri"/>
              </w:rPr>
            </w:r>
            <w:r w:rsidRPr="00273BD4">
              <w:rPr>
                <w:rFonts w:ascii="Calibri" w:hAnsi="Calibri" w:cs="Calibri"/>
                <w:b/>
                <w:bCs/>
              </w:rPr>
            </w:r>
            <w:r w:rsidRPr="00273BD4">
              <w:rPr>
                <w:rFonts w:ascii="Calibri" w:hAnsi="Calibri" w:cs="Calibri"/>
              </w:rPr>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 or refuse the adherence sensor (Orthotimer) embedded in the orthosis</w:t>
            </w:r>
          </w:p>
          <w:p w14:paraId="78433088" w14:textId="29C8A2BF" w:rsidR="00373F1E" w:rsidRPr="00273BD4" w:rsidRDefault="00BF1949" w:rsidP="00E66CD5">
            <w:pPr>
              <w:pStyle w:val="Default"/>
              <w:rPr>
                <w:ins w:id="90032" w:author="Claude" w:date="2026-10-27T14:00:00Z"/>
                <w:rFonts w:ascii="Calibri" w:hAnsi="Calibri" w:cs="Calibri"/>
                <w:sz w:val="22"/>
                <w:szCs w:val="22"/>
                <w:lang w:val="en-GB"/>
              </w:rPr>
            </w:pPr>
            <w:ins w:id="90033" w:author="Claude" w:date="2026-10-27T14:00:00Z">
              <w:r w:rsidRPr="00192FE3">
                <w:rPr>
                  <w:rFonts w:ascii="Calibri" w:hAnsi="Calibri" w:cs="Calibri"/>
                  <w:lang w:val="en-GB"/>
                </w:rPr>
                <w:t>Participate concurrently in another clinical trial</w:t>
              </w:r>
            </w:ins>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3.2.2. Primary endpoint</w:t>
      </w:r>
      <w:r w:rsidR="0085662E" w:rsidRPr="00273BD4"/>
      <w:r w:rsidRPr="00273BD4"/>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3.2.3.1. Footwear adherence — secondary endpoint and pre-specified mediator</w:t>
      </w:r>
      <w:r w:rsidR="0085662E" w:rsidRPr="00273BD4">
        <w:rPr>
          <w:rFonts w:ascii="Calibri" w:eastAsiaTheme="minorEastAsia" w:hAnsi="Calibri" w:cs="Calibri"/>
          <w:b/>
          <w:bCs/>
          <w:iCs/>
        </w:rPr>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Adherence to footwear will be defined as wearing their sensor-equipped footwear for 80% of the average daily waking time — the period between the two nights, established from the baseline MoveMonitor profile — and this for 7 days per week. Footwear adherence will be calculated throughout the 18-month study duration and will be read-out every three months, with the primary analysis timepoint at 12 months. Adherence is not a primary endpoint: it is reported as a secondary endpoint and is the pre-specified mediator through which the intervention is expected to act on ulcer recurrence. It therefore carries no success criterion of its own.</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 For footwear adherence as a secondary patient-related outcome measure, we expect 71% (SD 25%) adherence in Usual Care at 18 months based on findings from previous research. We expect an increase in footwear adherence in the Optimal Care group to a level of 85% at 18 months, through the effect of the structured education and behavioural support intervention. With α = 0.05 (two-sided) and power = 80%, enrolment ratio of 1, power calculations show that 100 participants are required (50 per study group). Including a drop-out rate of 15%, this leads to 115 participants for this endpoint. The recruitment target of the trial is set by the primary endpoint (144 participants), so this secondary endpoint is adequately powered.</w:t>
      </w:r>
      <w:r w:rsidRPr="6898190B">
        <w:rPr>
          <w:rFonts w:ascii="Calibri" w:hAnsi="Calibri" w:cs="Calibri"/>
        </w:rPr>
      </w:r>
      <w:r w:rsidRPr="6898190B">
        <w:rPr>
          <w:rFonts w:ascii="Calibri" w:hAnsi="Calibri" w:cs="Calibri"/>
          <w:b/>
          <w:bCs/>
        </w:rPr>
      </w:r>
      <w:r w:rsidRPr="6898190B">
        <w:rPr>
          <w:rFonts w:ascii="Calibri" w:hAnsi="Calibri" w:cs="Calibri"/>
        </w:rPr>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r>
      <w:r w:rsidR="00CE447D">
        <w:rPr>
          <w:rFonts w:ascii="Calibri" w:hAnsi="Calibri" w:cs="Calibri"/>
        </w:rPr>
      </w:r>
      <w:r w:rsidRPr="6898190B">
        <w:rPr>
          <w:rFonts w:ascii="Calibri" w:hAnsi="Calibri" w:cs="Calibri"/>
        </w:rPr>
      </w:r>
      <w:r w:rsidRPr="6898190B">
        <w:rPr>
          <w:rFonts w:ascii="Calibri" w:hAnsi="Calibri" w:cs="Calibri"/>
          <w:b/>
          <w:bCs/>
        </w:rPr>
      </w:r>
      <w:r w:rsidRPr="6898190B">
        <w:rPr>
          <w:rFonts w:ascii="Calibri" w:hAnsi="Calibri" w:cs="Calibri"/>
        </w:rPr>
      </w:r>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 or refuse the adherence sensor (Orthotimer) embedded in the orthosis</w:t>
      </w:r>
    </w:p>
    <w:p w14:paraId="536635AA" w14:textId="1BA8E789" w:rsidR="00D634DF" w:rsidRPr="00330199" w:rsidRDefault="003562B9" w:rsidP="003562B9">
      <w:pPr>
        <w:pStyle w:val="Lijstalinea"/>
        <w:spacing w:after="0" w:line="240" w:lineRule="auto"/>
        <w:ind w:left="1440" w:hanging="731"/>
        <w:jc w:val="both"/>
        <w:rPr>
          <w:ins w:id="90034" w:author="Claude" w:date="2026-10-27T14:00:00Z"/>
          <w:rFonts w:ascii="Calibri" w:hAnsi="Calibri" w:cs="Calibri"/>
        </w:rPr>
      </w:pPr>
      <w:ins w:id="90035" w:author="Claude" w:date="2026-10-27T14:00:00Z">
        <w:r w:rsidRPr="00330199">
          <w:rPr>
            <w:rFonts w:ascii="Calibri" w:hAnsi="Calibri" w:cs="Calibri"/>
            <w:b/>
            <w:bCs/>
          </w:rPr>
          <w:t>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Participate concurrently in another clinical trial</w:t>
        </w:r>
      </w:ins>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w:t>
      </w:r>
      <w:del w:id="90015" w:author="Claude" w:date="2026-10-12T16:03:41Z">
        <w:r w:rsidR="0D2BDB67" w:rsidRPr="00273BD4">
          <w:rPr>
            <w:rFonts w:ascii="Calibri" w:hAnsi="Calibri" w:cs="Calibri"/>
          </w:rPr>
          <w:delText xml:space="preserve">microcork (shore 55)</w:delText>
        </w:r>
      </w:del>
      <w:ins w:id="90016" w:author="Claude" w:date="2026-10-12T16:03:41Z">
        <w:r>
          <w:rPr>
            <w:rFonts w:ascii="Calibri" w:hAnsi="Calibri" w:cs="Calibri"/>
          </w:rPr>
          <w:t xml:space="preserve">micro-cork or EVA (shore 50)</w:t>
        </w:r>
      </w:ins>
      <w:r w:rsidR="0D2BDB67" w:rsidRPr="00273BD4">
        <w:rPr>
          <w:rFonts w:ascii="Calibri" w:hAnsi="Calibri" w:cs="Calibri"/>
        </w:rPr>
        <w:t xml:space="preserve"> topped with 5mm thick EVA (shore 35–40) for fully custom-made shoes, or 6mm thick EVA (shore 35–40) </w:t>
      </w:r>
      <w:del w:id="90017" w:author="Claude" w:date="2026-10-12T16:03:41Z">
        <w:r w:rsidR="0D2BDB67" w:rsidRPr="00273BD4">
          <w:rPr>
            <w:rFonts w:ascii="Calibri" w:hAnsi="Calibri" w:cs="Calibri"/>
          </w:rPr>
          <w:delText xml:space="preserve">for off-the-shelf shoes</w:delText>
        </w:r>
      </w:del>
      <w:ins w:id="90018" w:author="Claude" w:date="2026-10-12T16:03:41Z">
        <w:r>
          <w:rPr>
            <w:rFonts w:ascii="Calibri" w:hAnsi="Calibri" w:cs="Calibri"/>
          </w:rPr>
          <w:t xml:space="preserve">for off-the-shelf or semi-orthopaedic shoes, without cork</w:t>
        </w:r>
      </w:ins>
      <w:r w:rsidR="0D2BDB67" w:rsidRPr="00273BD4">
        <w:rPr>
          <w:rFonts w:ascii="Calibri" w:hAnsi="Calibri" w:cs="Calibri"/>
        </w:rPr>
        <w:t xml:space="preserve">;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ins w:id="90000" w:author="Claude" w:date="2026-10-08T17:36:01Z">
        <w:r>
          <w:rPr>
            <w:rFonts w:ascii="Calibri" w:hAnsi="Calibri" w:cs="Calibri"/>
          </w:rPr>
          <w:t xml:space="preserve"> In Usual Care, in-shoe plantar pressure is measured only at baseline (visit 1) and at month 6 (visit 4), blinded: the measurement uses a pressure palette with a 50 kPa threshold and the values switched off, so that results are neither shown nor discussed and do not guide the CMFO; the study team extracts the values centrally.</w:t>
        </w:r>
      </w:ins>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del w:id="90001" w:author="Claude" w:date="2026-10-08T17:36:01Z">
        <w:r w:rsidR="002501EF" w:rsidRPr="00273BD4">
          <w:rPr>
            <w:rFonts w:ascii="Calibri" w:hAnsi="Calibri" w:cs="Calibri"/>
            <w:b/>
            <w:bCs/>
            <w:u w:val="single"/>
          </w:rPr>
          <w:delText xml:space="preserve">Barefoot and in-shoe</w:delText>
        </w:r>
      </w:del>
      <w:ins w:id="90002" w:author="Claude" w:date="2026-10-08T17:36:01Z">
        <w:r>
          <w:rPr>
            <w:rFonts w:ascii="Calibri" w:hAnsi="Calibri" w:cs="Calibri"/>
            <w:b/>
            <w:bCs/>
            <w:u w:val="single"/>
          </w:rPr>
          <w:t xml:space="preserve">In-shoe</w:t>
        </w:r>
      </w:ins>
      <w:r w:rsidR="002501EF" w:rsidRPr="00273BD4">
        <w:rPr>
          <w:rFonts w:ascii="Calibri" w:hAnsi="Calibri" w:cs="Calibri"/>
          <w:b/>
          <w:bCs/>
          <w:u w:val="single"/>
        </w:rPr>
        <w:t xml:space="preserv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 xml:space="preserve">At study inclusion, each participant will receive a new pair of custom-made foot orthoses (CMFO) manufactured by a certified pedorthist. The orthoses will consist of: i) a base layer of 5-mm thick </w:t>
      </w:r>
      <w:del w:id="90019" w:author="Claude" w:date="2026-10-12T16:03:41Z">
        <w:r w:rsidRPr="14A59B64">
          <w:rPr>
            <w:rFonts w:ascii="Calibri" w:hAnsi="Calibri" w:cs="Calibri"/>
          </w:rPr>
          <w:delText xml:space="preserve">microcork (shore 55)</w:delText>
        </w:r>
      </w:del>
      <w:ins w:id="90020" w:author="Claude" w:date="2026-10-12T16:03:41Z">
        <w:r>
          <w:rPr>
            <w:rFonts w:ascii="Calibri" w:hAnsi="Calibri" w:cs="Calibri"/>
          </w:rPr>
          <w:t xml:space="preserve">micro-cork or EVA (shore 50)</w:t>
        </w:r>
      </w:ins>
      <w:r w:rsidRPr="14A59B64">
        <w:rPr>
          <w:rFonts w:ascii="Calibri" w:hAnsi="Calibri" w:cs="Calibri"/>
        </w:rPr>
        <w:t xml:space="preserve"> topped with 5-mm thick EVA (shore 35–40) for fully custom-made shoes, or 6-mm thick EVA (shore 35–40) </w:t>
      </w:r>
      <w:del w:id="90021" w:author="Claude" w:date="2026-10-12T16:03:41Z">
        <w:r w:rsidRPr="14A59B64">
          <w:rPr>
            <w:rFonts w:ascii="Calibri" w:hAnsi="Calibri" w:cs="Calibri"/>
          </w:rPr>
          <w:delText xml:space="preserve">for off-the-shelf shoes</w:delText>
        </w:r>
      </w:del>
      <w:ins w:id="90022" w:author="Claude" w:date="2026-10-12T16:03:41Z">
        <w:r>
          <w:rPr>
            <w:rFonts w:ascii="Calibri" w:hAnsi="Calibri" w:cs="Calibri"/>
          </w:rPr>
          <w:t xml:space="preserve">for off-the-shelf or semi-orthopaedic shoes, without cork</w:t>
        </w:r>
      </w:ins>
      <w:r w:rsidRPr="14A59B64">
        <w:rPr>
          <w:rFonts w:ascii="Calibri" w:hAnsi="Calibri" w:cs="Calibri"/>
        </w:rPr>
        <w:t xml:space="preserve">;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xml:space="preserve">. Footwear will be modified to improve pressure redistribution when peak plantar pressures exceed 200 kPa or when the podiatrist and pedorthist judge that further pressure reduction is achievable. The goal is to reduce peak plantar pressure by at least 25% </w:t>
      </w:r>
      <w:del w:id="90003" w:author="Claude" w:date="2026-10-08T17:36:01Z">
        <w:r w:rsidRPr="14A59B6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04"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storage capacity (battery lifespan of minimum 20 months).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w:t>
      </w:r>
      <w:del w:id="90005" w:author="Claude" w:date="2026-10-08T17:36:01Z">
        <w:r w:rsidRPr="00273BD4">
          <w:rPr>
            <w:rFonts w:ascii="Calibri" w:hAnsi="Calibri" w:cs="Calibri"/>
          </w:rPr>
          <w:delText xml:space="preserve">These data will be collected during a full week, both at baseline and at 6 months.</w:delText>
        </w:r>
      </w:del>
      <w:ins w:id="90006" w:author="Claude" w:date="2026-10-08T17:36:01Z">
        <w:r>
          <w:rPr>
            <w:rFonts w:ascii="Calibri" w:hAnsi="Calibri" w:cs="Calibri"/>
          </w:rPr>
          <w:t xml:space="preserve">These data will be collected during a full week at baseline only.</w:t>
        </w:r>
      </w:ins>
      <w:r w:rsidRPr="00273BD4">
        <w:rPr>
          <w:rFonts w:ascii="Calibri" w:hAnsi="Calibri" w:cs="Calibri"/>
        </w:rPr>
        <w:t xml:space="preserve">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seven-day profile will be used to determine when a participant gets up and goes to bed. An average daily waking time — the period between the two nights —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that window. Waking time is used rather than weight-bearing time because the compliance sensor and the activity monitor report per calendar day and are not epoch-synchronised</w:t>
      </w:r>
      <w:r w:rsidRPr="00273BD4">
        <w:rPr>
          <w:rFonts w:ascii="Calibri" w:hAnsi="Calibri" w:cs="Calibri"/>
          <w:b/>
          <w:bCs/>
        </w:rPr>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 xml:space="preserve">Baseline plantar pressure measurements: </w:t>
      </w:r>
      <w:del w:id="90007" w:author="Claude" w:date="2026-10-08T17:36:01Z">
        <w:r w:rsidRPr="00881DB4">
          <w:rPr>
            <w:rFonts w:ascii="Calibri" w:hAnsi="Calibri" w:cs="Calibri"/>
          </w:rPr>
          <w:delText xml:space="preserve">Barefoot assessment will be collected</w:delText>
        </w:r>
      </w:del>
      <w:ins w:id="90008" w:author="Claude" w:date="2026-10-08T17:36:01Z">
        <w:r>
          <w:rPr>
            <w:rFonts w:ascii="Calibri" w:hAnsi="Calibri" w:cs="Calibri"/>
          </w:rPr>
          <w:t xml:space="preserve">In-shoe assessment without the CMFO, in the footwear the participant arrives in, will be collected in both arms (blinded in Usual Care, see 5.4.1)</w:t>
        </w:r>
      </w:ins>
      <w:r w:rsidRPr="00881DB4">
        <w:rPr>
          <w:rFonts w:ascii="Calibri" w:hAnsi="Calibri" w:cs="Calibri"/>
        </w:rPr>
        <w:t xml:space="preserve">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rsidR="00204979" w:rsidRPr="00881DB4" w:rsidRDefault="00204979" w:rsidP="00204979">
      <w:pPr>
        <w:pStyle w:val="Lijstalinea"/>
        <w:numPr>
          <w:ilvl w:val="0"/>
          <w:numId w:val="18"/>
        </w:numPr>
        <w:ind w:left="284" w:hanging="284"/>
        <w:jc w:val="both"/>
        <w:rPr>
          <w:ins w:id="90023" w:author="Claude" w:date="2026-10-25T09:00:00Z"/>
          <w:rFonts w:ascii="Calibri" w:hAnsi="Calibri" w:cs="Calibri"/>
        </w:rPr>
      </w:pPr>
      <w:ins w:id="90024" w:author="Claude" w:date="2026-10-25T09:00:00Z">
        <w:r w:rsidRPr="00881DB4">
          <w:rPr>
            <w:rFonts w:ascii="Calibri" w:hAnsi="Calibri" w:cs="Calibri"/>
            <w:color w:val="000000" w:themeColor="text1"/>
          </w:rPr>
          <w:t xml:space="preserve">Record the start and end time of the consultation for each healthcare professional involved (podiatrist, nurse), in both study arms (eCRF-Document 49: Consultation Duration Log)</w:t>
        </w:r>
      </w:ins>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pressure redistribution efficacy of CMFO using predetermined benchmarks</w:t>
      </w:r>
      <w:ins w:id="90013" w:author="Claude" w:date="2026-10-08T17:36:01Z">
        <w:r>
          <w:rPr>
            <w:rFonts w:ascii="Calibri" w:hAnsi="Calibri" w:cs="Calibri"/>
          </w:rPr>
          <w:t xml:space="preserve"> (Optimal Care only; there is no pressure measurement in Usual Care at visit 2)</w:t>
        </w:r>
      </w:ins>
      <w:r w:rsidRPr="00273BD4">
        <w:rPr>
          <w:rFonts w:ascii="Calibri" w:hAnsi="Calibri" w:cs="Calibri"/>
        </w:rPr>
        <w:t xml:space="preserve">: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w:t>
      </w:r>
      <w:del w:id="90009" w:author="Claude" w:date="2026-10-08T17:36:01Z">
        <w:r w:rsidRPr="00273BD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10"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r w:rsidRPr="00273BD4">
        <w:rPr>
          <w:rFonts w:ascii="Calibri" w:hAnsi="Calibri" w:cs="Calibri"/>
        </w:rPr>
        <w:t xml:space="preserve">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rsidR="00204979" w:rsidRPr="00881DB4" w:rsidRDefault="00204979" w:rsidP="00204979">
      <w:pPr>
        <w:pStyle w:val="Lijstalinea"/>
        <w:numPr>
          <w:ilvl w:val="0"/>
          <w:numId w:val="18"/>
        </w:numPr>
        <w:spacing w:after="0" w:line="240" w:lineRule="auto"/>
        <w:ind w:left="284" w:hanging="284"/>
        <w:jc w:val="both"/>
        <w:rPr>
          <w:ins w:id="90025" w:author="Claude" w:date="2026-10-25T09:00:00Z"/>
          <w:rFonts w:ascii="Calibri" w:hAnsi="Calibri" w:cs="Calibri"/>
          <w:color w:val="000000" w:themeColor="text1"/>
        </w:rPr>
      </w:pPr>
      <w:ins w:id="90026" w:author="Claude" w:date="2026-10-25T09:00:00Z">
        <w:r w:rsidRPr="00881DB4">
          <w:rPr>
            <w:rFonts w:ascii="Calibri" w:hAnsi="Calibri" w:cs="Calibri"/>
            <w:color w:val="000000" w:themeColor="text1"/>
          </w:rPr>
          <w:t xml:space="preserve">Record the start and end time of the consultation for each healthcare professional involved (podiatrist, nurse), in both study arms (eCRF-Document 49: Consultation Duration Log)</w:t>
        </w:r>
      </w:ins>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rsidR="00204979" w:rsidRPr="00273BD4" w:rsidRDefault="00204979" w:rsidP="00204979">
      <w:pPr>
        <w:pStyle w:val="Lijstalinea"/>
        <w:numPr>
          <w:ilvl w:val="0"/>
          <w:numId w:val="18"/>
        </w:numPr>
        <w:ind w:left="284" w:hanging="284"/>
        <w:jc w:val="both"/>
        <w:rPr>
          <w:ins w:id="90027" w:author="Claude" w:date="2026-10-25T09:00:00Z"/>
          <w:rFonts w:ascii="Calibri" w:hAnsi="Calibri" w:cs="Calibri"/>
        </w:rPr>
      </w:pPr>
      <w:ins w:id="90028" w:author="Claude" w:date="2026-10-25T09:00:00Z">
        <w:r w:rsidRPr="00273BD4">
          <w:rPr>
            <w:rFonts w:ascii="Calibri" w:hAnsi="Calibri" w:cs="Calibri"/>
          </w:rPr>
          <w:t xml:space="preserve">Record the start and end time of the consultation for each healthcare professional involved (podiatrist, nurse), in both study arms (eCRF-Document 49: Consultation Duration Log)</w:t>
        </w:r>
      </w:ins>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 xml:space="preserve">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w:t>
      </w:r>
      <w:del w:id="90011" w:author="Claude" w:date="2026-10-08T17:36:01Z">
        <w:r w:rsidRPr="00273BD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12"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r w:rsidRPr="00273BD4">
        <w:rPr>
          <w:rFonts w:ascii="Calibri" w:hAnsi="Calibri" w:cs="Calibri"/>
        </w:rPr>
        <w:t xml:space="preserve">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ins w:id="90014" w:author="Claude" w:date="2026-10-08T17:36:01Z">
        <w:r>
          <w:rPr>
            <w:rFonts w:ascii="Calibri" w:hAnsi="Calibri" w:cs="Calibri"/>
          </w:rPr>
          <w:t xml:space="preserve"> In Usual Care, this measurement takes place at month 6 only and is blinded (see 5.4.1).</w:t>
        </w:r>
      </w:ins>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The effectiveness of the intervention for the primary endpoint (foot ulcer recurrence) will be evaluated as the percentage of participants experiencing a recurring foot ulcer (any type, plantar, or at high-risk sites), using chi-square analysis. The occurrence of ulcer recurrence over time will be examined using log-rank tests and illustrated with Kaplan–Meier curves, accounting for mortality. Footwear adherence is analysed as a secondary endpoint and as the pre-specified mediator. The between-group difference in adherence will be tested with an independent samples Student’s t-test, assuming the data follow a normal distribution. The mediating role of adherence in the effect of the intervention on ulcer recurrence will be examined in a pre-specified mediation analysis, complemented by a subgroup analysis in which patients are divided into high and low adherence groups on the pre-defined 80% threshold (average adherence over 18 months ≥ 80%).</w:t>
      </w:r>
      <w:r w:rsidRPr="00273BD4">
        <w:rPr>
          <w:rFonts w:ascii="Calibri" w:hAnsi="Calibri" w:cs="Calibri"/>
          <w:b/>
          <w:bCs/>
        </w:rPr>
      </w:r>
      <w:r w:rsidRPr="00273BD4">
        <w:rPr>
          <w:rFonts w:ascii="Calibri" w:hAnsi="Calibri" w:cs="Calibri"/>
        </w:rPr>
      </w:r>
      <w:r w:rsidRPr="00881DB4">
        <w:rPr>
          <w:rFonts w:ascii="Calibri" w:hAnsi="Calibri" w:cs="Calibri"/>
        </w:rPr>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rsidR="003723B2" w:rsidRDefault="003723B2" w:rsidP="003723B2">
      <w:pPr>
        <w:pStyle w:val="Lijstalinea"/>
        <w:numPr>
          <w:ilvl w:val="0"/>
          <w:numId w:val="18"/>
        </w:numPr>
        <w:spacing w:after="200" w:line="276" w:lineRule="auto"/>
        <w:ind w:left="284" w:hanging="284"/>
        <w:jc w:val="both"/>
        <w:rPr>
          <w:ins w:id="90029" w:author="Claude" w:date="2026-10-25T09:00:00Z"/>
          <w:rFonts w:ascii="Calibri" w:eastAsia="Cambria" w:hAnsi="Calibri" w:cs="Calibri"/>
        </w:rPr>
      </w:pPr>
      <w:ins w:id="90030" w:author="Claude" w:date="2026-10-25T09:00:00Z">
        <w:r w:rsidRPr="00755F39">
          <w:rPr>
            <w:rFonts w:ascii="Calibri" w:hAnsi="Calibri" w:cs="Calibri"/>
            <w:b/>
            <w:bCs/>
            <w:color w:val="EE0000"/>
          </w:rPr>
          <w:t xml:space="preserve">eCRF-Document 49: Consultation Duration Log</w:t>
        </w:r>
      </w:ins>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