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w:t>
      </w:r>
      <w:r w:rsidR="00297F20">
        <w:rPr>
          <w:lang w:val="en-GB"/>
        </w:rPr>
        <w:t xml:space="preserve">recognized</w:t>
      </w:r>
      <w:r w:rsidRPr="00D1417A">
        <w:rPr>
          <w:lang w:val="en-GB"/>
        </w:rPr>
        <w:t xml:space="preserve"> lower-extremity complication of diabetes, affecting 19%</w:t>
      </w:r>
      <w:r w:rsidR="00297F20">
        <w:rPr>
          <w:lang w:val="en-GB"/>
        </w:rPr>
        <w:t xml:space="preserve">–</w:t>
      </w:r>
      <w:r w:rsidRPr="00D1417A">
        <w:rPr>
          <w:lang w:val="en-GB"/>
        </w:rPr>
        <w:t xml:space="preserve">34% of </w:t>
      </w:r>
      <w:r w:rsidR="00297F20">
        <w:rPr>
          <w:lang w:val="en-GB"/>
        </w:rPr>
        <w:t xml:space="preserve">individuals</w:t>
      </w:r>
      <w:r w:rsidRPr="00D1417A">
        <w:rPr>
          <w:lang w:val="en-GB"/>
        </w:rPr>
        <w:t xml:space="preserve"> with diabetes during their lifetime [1]. </w:t>
      </w:r>
      <w:r w:rsidR="00297F20">
        <w:rPr>
          <w:lang w:val="en-GB"/>
        </w:rPr>
        <w:t xml:space="preserve">The consequences of this condition </w:t>
      </w:r>
      <w:r w:rsidRPr="00D1417A">
        <w:rPr>
          <w:lang w:val="en-GB"/>
        </w:rPr>
        <w:t xml:space="preserve">are disproportionate to the clinical attention it </w:t>
      </w:r>
      <w:r w:rsidR="00297F20">
        <w:rPr>
          <w:lang w:val="en-GB"/>
        </w:rPr>
        <w:t xml:space="preserve">receives</w:t>
      </w:r>
      <w:r w:rsidRPr="00D1417A">
        <w:rPr>
          <w:lang w:val="en-GB"/>
        </w:rPr>
        <w:t xml:space="preserve">. Five-year mortality among </w:t>
      </w:r>
      <w:r w:rsidR="00297F20">
        <w:rPr>
          <w:lang w:val="en-GB"/>
        </w:rPr>
        <w:t xml:space="preserve">individuals</w:t>
      </w:r>
      <w:r w:rsidRPr="00D1417A">
        <w:rPr>
          <w:lang w:val="en-GB"/>
        </w:rPr>
        <w:t xml:space="preserve"> with a diabetes-related foot ulcer is 2.5 times that of </w:t>
      </w:r>
      <w:r w:rsidR="00297F20">
        <w:rPr>
          <w:lang w:val="en-GB"/>
        </w:rPr>
        <w:t xml:space="preserve">individuals</w:t>
      </w:r>
      <w:r w:rsidRPr="00D1417A">
        <w:rPr>
          <w:lang w:val="en-GB"/>
        </w:rPr>
        <w:t xml:space="preserve"> with diabetes and no ulcer; more than half of ulcers become </w:t>
      </w:r>
      <w:r w:rsidR="00297F20">
        <w:rPr>
          <w:lang w:val="en-GB"/>
        </w:rPr>
        <w:t xml:space="preserve">infected; and </w:t>
      </w:r>
      <w:r w:rsidRPr="00D1417A">
        <w:rPr>
          <w:lang w:val="en-GB"/>
        </w:rPr>
        <w:t xml:space="preserve">approximately one in five moderate or severe infections leads to amputation, after which five-year mortality exceeds 70% [1]. </w:t>
      </w:r>
      <w:r w:rsidR="00297F20">
        <w:rPr>
          <w:lang w:val="en-GB"/>
        </w:rPr>
        <w:t xml:space="preserve">The direct</w:t>
      </w:r>
      <w:r w:rsidRPr="00D1417A">
        <w:rPr>
          <w:lang w:val="en-GB"/>
        </w:rPr>
        <w:t xml:space="preserve"> treatment costs for diabetic foot complications exceed those of many common cancers [1].</w:t>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specialised European centres, approximately 77% of diabetic foot ulcers achieve healing within one year [1].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w:t>
      </w:r>
      <w:r w:rsidR="00401701">
        <w:rPr>
          <w:lang w:val="en-GB"/>
        </w:rPr>
        <w:t xml:space="preserve">tar stress,</w:t>
      </w:r>
      <w:r w:rsidRPr="00D1417A">
        <w:rPr>
          <w:lang w:val="en-GB"/>
        </w:rPr>
        <w:t xml:space="preserve"> and peripheral artery disease persist unchanged after </w:t>
      </w:r>
      <w:r w:rsidR="00401701">
        <w:rPr>
          <w:lang w:val="en-GB"/>
        </w:rPr>
        <w:t xml:space="preserve">epithelialization</w:t>
      </w:r>
      <w:r w:rsidRPr="00D1417A">
        <w:rPr>
          <w:lang w:val="en-GB"/>
        </w:rPr>
        <w:t xml:space="preserve"> [1]. The proximate mechanism is mechanical</w:t>
      </w:r>
      <w:r w:rsidR="00401701">
        <w:rPr>
          <w:lang w:val="en-GB"/>
        </w:rPr>
        <w:t xml:space="preserve">, involving</w:t>
      </w:r>
      <w:r w:rsidRPr="00D1417A">
        <w:rPr>
          <w:lang w:val="en-GB"/>
        </w:rPr>
        <w:t xml:space="preserve"> repetitive vertical and shear stress applied to a foot that has lost the protective</w:t>
      </w:r>
      <w:r w:rsidR="00401701">
        <w:rPr>
          <w:lang w:val="en-GB"/>
        </w:rPr>
        <w:t xml:space="preserve"> sensation,</w:t>
      </w:r>
      <w:r w:rsidRPr="00D1417A">
        <w:rPr>
          <w:lang w:val="en-GB"/>
        </w:rPr>
        <w:t xml:space="preserve"> which would otherwise interrupt it [1].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[2].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operational target derived from pressure-guided footwear optimisation [3], and pressure-informed therapeutic footwear is standard of care after ulceration [4]. </w:t>
      </w:r>
      <w:r w:rsidR="0055219D">
        <w:rPr>
          <w:lang w:val="en-GB"/>
        </w:rPr>
        <w:t xml:space="preserve">However,</w:t>
      </w:r>
      <w:r w:rsidRPr="00D1417A">
        <w:rPr>
          <w:lang w:val="en-GB"/>
        </w:rPr>
        <w:t xml:space="preserve"> the pivotal </w:t>
      </w:r>
      <w:proofErr w:type="spellStart"/>
      <w:r w:rsidR="0055219D">
        <w:rPr>
          <w:lang w:val="en-GB"/>
        </w:rPr>
        <w:t xml:space="preserve">multicenter</w:t>
      </w:r>
      <w:proofErr w:type="spellEnd"/>
      <w:r w:rsidRPr="00D1417A">
        <w:rPr>
          <w:lang w:val="en-GB"/>
        </w:rPr>
        <w:t xml:space="preserve"> </w:t>
      </w:r>
      <w:r w:rsidR="0055219D">
        <w:rPr>
          <w:lang w:val="en-GB"/>
        </w:rPr>
        <w:t xml:space="preserve">randomized</w:t>
      </w:r>
      <w:r w:rsidRPr="00D1417A">
        <w:rPr>
          <w:lang w:val="en-GB"/>
        </w:rPr>
        <w:t xml:space="preserve">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[5]. </w:t>
      </w:r>
      <w:r w:rsidR="0055219D">
        <w:rPr>
          <w:lang w:val="en-GB"/>
        </w:rPr>
        <w:t xml:space="preserve">Benefits</w:t>
      </w:r>
      <w:r w:rsidRPr="00D1417A">
        <w:rPr>
          <w:lang w:val="en-GB"/>
        </w:rPr>
        <w:t xml:space="preserve"> appeared only among the 46% of participants who wore the footwear as prescribed: recurrence in that subgroup </w:t>
      </w:r>
      <w:r w:rsidRPr="00D1417A">
        <w:rPr>
          <w:lang w:val="en-GB"/>
        </w:rPr>
        <w:lastRenderedPageBreak/>
        <w:t xml:space="preserve">was 25.7% with improved footwear versus 47.8% with usual care (odds ratio 0.38, 95% CI 0.15–0.99, p = 0.045) [5]. </w:t>
      </w:r>
      <w:r w:rsidR="0055219D">
        <w:rPr>
          <w:lang w:val="en-GB"/>
        </w:rPr>
        <w:t xml:space="preserve">Accordingly, the</w:t>
      </w:r>
      <w:r w:rsidRPr="00D1417A">
        <w:rPr>
          <w:lang w:val="en-GB"/>
        </w:rPr>
        <w:t xml:space="preserve"> trial's conclusion was conditional</w:t>
      </w:r>
      <w:r w:rsidR="0055219D">
        <w:rPr>
          <w:lang w:val="en-GB"/>
        </w:rPr>
        <w:t xml:space="preserve">:</w:t>
      </w:r>
      <w:r w:rsidRPr="00D1417A">
        <w:rPr>
          <w:lang w:val="en-GB"/>
        </w:rPr>
        <w:t xml:space="preserve"> improved offloading does not reduce recurrence unless it is worn as recommended [5].</w:t>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of patient education included in the International Working Group on the Diabetic Foot systematic review of recurrence prevention, the mean effect size was −13.4%, indicating no protective effect [1,6]. The most rigorous individual trial evaluating a structured single educational session found no reduction in ulceration at either six or twelve months [7].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[8].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[9]; fewer than one-third of patients wear prescribed footwear more than 80% of the time [5,9].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[10].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[11].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[12].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attributed to unrecognised repetitive trauma [1,13].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[14],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[15].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[7].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w:t>
      </w:r>
      <w:r w:rsidR="00CC52FA">
        <w:rPr>
          <w:lang w:val="en-GB"/>
        </w:rPr>
        <w:t xml:space="preserve">ior work, and </w:t>
      </w:r>
      <w:r w:rsidRPr="00D1417A">
        <w:rPr>
          <w:lang w:val="en-GB"/>
        </w:rPr>
        <w:t xml:space="preserve">its associated effect has been sub</w:t>
      </w:r>
      <w:r w:rsidR="00CC52FA">
        <w:rPr>
          <w:lang w:val="en-GB"/>
        </w:rPr>
        <w:t xml:space="preserve">stantial: the </w:t>
      </w:r>
      <w:r w:rsidRPr="00D1417A">
        <w:rPr>
          <w:lang w:val="en-GB"/>
        </w:rPr>
        <w:t xml:space="preserve">mean risk reduction was 58.1% for adherence to therapeutic footwear and 85.5% for adherence to educational recommendations [1,6].</w:t>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[16].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[5], whereas adherence-monitoring approaches have mainly been evaluated in other healthcare systems, with challenges in implementation reported [14].</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[8].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[17].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[18]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[19]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[20].</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 xml:space="preserve">Participants </w:t>
      </w:r>
      <w:r w:rsidR="00CC52FA">
        <w:rPr>
          <w:lang w:val="en-GB"/>
        </w:rPr>
        <w:t xml:space="preserve">will be</w:t>
      </w:r>
      <w:r w:rsidRPr="00D1417A">
        <w:rPr>
          <w:lang w:val="en-GB"/>
        </w:rPr>
        <w:t xml:space="preserve"> excluded if they have undergone ray amputation, partial or complete, or major amputation including </w:t>
      </w:r>
      <w:proofErr w:type="spellStart"/>
      <w:r w:rsidRPr="00D1417A">
        <w:rPr>
          <w:lang w:val="en-GB"/>
        </w:rPr>
        <w:t xml:space="preserve">transmetatarsal</w:t>
      </w:r>
      <w:proofErr w:type="spellEnd"/>
      <w:r w:rsidRPr="00D1417A">
        <w:rPr>
          <w:lang w:val="en-GB"/>
        </w:rPr>
        <w:t xml:space="preserve">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w:t>
      </w:r>
      <w:r w:rsidR="00CC52FA">
        <w:rPr>
          <w:lang w:val="en-GB"/>
        </w:rPr>
        <w:t xml:space="preserve">ischemia</w:t>
      </w:r>
      <w:r w:rsidRPr="00D1417A">
        <w:rPr>
          <w:lang w:val="en-GB"/>
        </w:rPr>
        <w:t xml:space="preserve">,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spacing w:after="140" w:line="276" w:lineRule="auto"/>
        <w:jc w:val="both"/>
        <w:rPr>
          <w:lang w:val="en-GB"/>
        </w:rPr>
      </w:pPr>
      <w:r w:rsidRPr="00D1417A">
        <w:rPr>
          <w:lang w:val="en-GB"/>
        </w:rPr>
        <w:t xml:space="preserve">#### 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spacing w:after="140" w:line="276" w:lineRule="auto"/>
        <w:jc w:val="both"/>
        <w:rPr>
          <w:lang w:val="en-GB"/>
        </w:rPr>
      </w:pPr>
      <w:r w:rsidRPr="00D1417A">
        <w:rPr>
          <w:lang w:val="en-GB"/>
        </w:rPr>
        <w:t xml:space="preserve">#### 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[4]: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spacing w:after="140" w:line="276" w:lineRule="auto"/>
        <w:jc w:val="both"/>
        <w:rPr>
          <w:lang w:val="en-GB"/>
        </w:rPr>
      </w:pPr>
      <w:r w:rsidRPr="00D1417A">
        <w:rPr>
          <w:lang w:val="en-GB"/>
        </w:rPr>
        <w:t xml:space="preserve">#### 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 xml:space="preserve">Pressure-guided footwear optimisation.</w:t>
      </w:r>
      <w:r w:rsidRPr="00D1417A">
        <w:rPr>
          <w:lang w:val="en-GB"/>
        </w:rPr>
        <w:t xml:space="preserve"> Each participant receives a new pair of custom-made foot orthoses manufactured by a certified pedorthist. Construction comprises a 5 mm total-contact ethylene-vinyl acetate layer, a 3–5 mm medial arch support, a </w:t>
      </w:r>
      <w:proofErr w:type="spellStart"/>
      <w:r w:rsidRPr="00D1417A">
        <w:rPr>
          <w:lang w:val="en-GB"/>
        </w:rPr>
        <w:t xml:space="preserve">transmetatarsal</w:t>
      </w:r>
      <w:proofErr w:type="spellEnd"/>
      <w:r w:rsidRPr="00D1417A">
        <w:rPr>
          <w:lang w:val="en-GB"/>
        </w:rPr>
        <w:t xml:space="preserve"> bar up to 9 mm, local depth relief at fragile or prominent regions, and a top cover of 3 mm closed-cell foam over 3 mm open-cell cushioning foam [3]. In-shoe plantar pressures are measured by the clinical team using the Novel </w:t>
      </w:r>
      <w:proofErr w:type="spellStart"/>
      <w:r w:rsidRPr="00D1417A">
        <w:rPr>
          <w:lang w:val="en-GB"/>
        </w:rPr>
        <w:t xml:space="preserve">pedar</w:t>
      </w:r>
      <w:proofErr w:type="spellEnd"/>
      <w:r w:rsidRPr="00D1417A">
        <w:rPr>
          <w:lang w:val="en-GB"/>
        </w:rPr>
        <w:t xml:space="preserve"> in-shoe system (Novel GmbH, Munich, Germany) with t</w:t>
      </w:r>
      <w:r w:rsidRPr="00D1417A">
        <w:rPr>
          <w:lang w:val="en-GB"/>
        </w:rPr>
        <w:t xml:space="preserve">he novel database software, during repeated ambulation along a 10-metre walkway, acquiring a minimum of twelve mid-gait steps per foot. Sensor insoles are calibrated with the </w:t>
      </w:r>
      <w:proofErr w:type="spellStart"/>
      <w:r w:rsidRPr="00D1417A">
        <w:rPr>
          <w:lang w:val="en-GB"/>
        </w:rPr>
        <w:t xml:space="preserve">trublu</w:t>
      </w:r>
      <w:proofErr w:type="spellEnd"/>
      <w:r w:rsidRPr="00D1417A">
        <w:rPr>
          <w:lang w:val="en-GB"/>
        </w:rPr>
        <w:t xml:space="preserve"> device, loaded to 6 </w:t>
      </w:r>
      <w:proofErr w:type="gramStart"/>
      <w:r w:rsidRPr="00D1417A">
        <w:rPr>
          <w:lang w:val="en-GB"/>
        </w:rPr>
        <w:t xml:space="preserve">bar</w:t>
      </w:r>
      <w:proofErr w:type="gramEnd"/>
      <w:r w:rsidRPr="00D1417A">
        <w:rPr>
          <w:lang w:val="en-GB"/>
        </w:rPr>
        <w:t xml:space="preserve">,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w:t>
      </w:r>
      <w:r w:rsidRPr="00D1417A">
        <w:rPr>
          <w:lang w:val="en-GB"/>
        </w:rPr>
        <w:t xml:space="preserve">on sub-study using the F-Scan GO in-shoe system (Tekscan, Norwood, MA, USA) with </w:t>
      </w:r>
      <w:proofErr w:type="spellStart"/>
      <w:r w:rsidRPr="00D1417A">
        <w:rPr>
          <w:lang w:val="en-GB"/>
        </w:rPr>
        <w:t xml:space="preserve">FootVIEW</w:t>
      </w:r>
      <w:proofErr w:type="spellEnd"/>
      <w:r w:rsidRPr="00D1417A">
        <w:rPr>
          <w:lang w:val="en-GB"/>
        </w:rPr>
        <w:t xml:space="preserve"> Pro software, comparing the two systems; F-Scan GO measurements are performed by the study team only and do not inform </w:t>
      </w:r>
      <w:r w:rsidRPr="00D1417A">
        <w:rPr>
          <w:lang w:val="en-GB"/>
        </w:rPr>
        <w:lastRenderedPageBreak/>
        <w:t xml:space="preserve">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[3], </w:t>
      </w:r>
      <w:r w:rsidRPr="00D1417A">
        <w:rPr>
          <w:lang w:val="en-GB"/>
        </w:rPr>
        <w:t xml:space="preserve">orthosis geometry is iteratively modified under in-shoe peak-pressure feedback until in-shoe peak plantar pressure falls below 200 kPa at all previously ulcerated and high-risk </w:t>
      </w:r>
      <w:proofErr w:type="gramStart"/>
      <w:r w:rsidRPr="00D1417A">
        <w:rPr>
          <w:lang w:val="en-GB"/>
        </w:rPr>
        <w:t xml:space="preserve">regions, or</w:t>
      </w:r>
      <w:proofErr w:type="gramEnd"/>
      <w:r w:rsidRPr="00D1417A">
        <w:rPr>
          <w:lang w:val="en-GB"/>
        </w:rPr>
        <w:t xml:space="preserve"> is reduced by at least 25% from the participant's own baseline, whichever is achieved first. Achieved pressure reduction is recorded for every participant and reported as a fidelity measure, so that a null clinical result can be interpreted against the offloading </w:t>
      </w:r>
      <w:proofErr w:type="gramStart"/>
      <w:r w:rsidRPr="00D1417A">
        <w:rPr>
          <w:lang w:val="en-GB"/>
        </w:rPr>
        <w:t xml:space="preserve">actually delivered</w:t>
      </w:r>
      <w:proofErr w:type="gramEnd"/>
      <w:r w:rsidRPr="00D1417A">
        <w:rPr>
          <w:lang w:val="en-GB"/>
        </w:rPr>
        <w:t xml:space="preserve"> rather than the offloading intended.</w:t>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 xml:space="preserve">Step 1, at baseline, assesses foot-care knowledge using the Nottingham Assessment of Functional Footcare [21]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[9]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[22];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[23],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[24].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[1,13],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[25];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[26];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 xml:space="preserve">Exploratory outcome.</w:t>
      </w:r>
      <w:r w:rsidRPr="00D1417A">
        <w:rPr>
          <w:lang w:val="en-GB"/>
        </w:rPr>
        <w:t xml:space="preserve"> Cumulative plantar tissue stress (Figure 5) is derived for each participant as the integral over follow-up of region-specific plantar pressure and weight-bearing activity, partitioned by whether prescribed footwear was worn, combining serial F-Scan measurement, continuous </w:t>
      </w:r>
      <w:proofErr w:type="spellStart"/>
      <w:r w:rsidRPr="00D1417A">
        <w:rPr>
          <w:lang w:val="en-GB"/>
        </w:rPr>
        <w:t xml:space="preserve">MoveMonitor</w:t>
      </w:r>
      <w:proofErr w:type="spellEnd"/>
      <w:r w:rsidRPr="00D1417A">
        <w:rPr>
          <w:lang w:val="en-GB"/>
        </w:rPr>
        <w:t xml:space="preserve"> activity profiling and continuous Orthotimer wear-time recording. Because in-shoe pressure is measured at three timepoints while activity and wear time are recorded continuously, pressure is carried forward between measurement</w:t>
      </w:r>
      <w:r w:rsidRPr="00D1417A">
        <w:rPr>
          <w:lang w:val="en-GB"/>
        </w:rPr>
        <w:t xml:space="preserve">s; this approximation is stated explicitly and its influence examined by restricting analysis to the intervals immediately surrounding each pressure measurement.</w:t>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[5]</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[5,9],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[9]. Anticipating an increase to 85% under PARADISE — comparable in magnitude to the improvement observed when adherence was actively targeted in prior work [27]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85% for ulcer recurrence and 87% for footwear adherence; with complete follow-up, power is 90% and 92% respectively. Because the trial is declared positive only if both co-primary endpoints are met, the probability of succeeding on both is lower than either figure taken alone: assuming independence it is approximately 74%, and higher to the extent that the two endpoints are positively correlated, as the trial’s causal model predicts.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[5],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[11],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[28],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w:t>
      </w:r>
      <w:r w:rsidRPr="00D1417A">
        <w:rPr>
          <w:lang w:val="en-GB"/>
        </w:rPr>
        <w:t xml:space="preserve">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w:t>
      </w:r>
      <w:proofErr w:type="gramStart"/>
      <w:r w:rsidRPr="00D1417A">
        <w:rPr>
          <w:lang w:val="en-GB"/>
        </w:rPr>
        <w:t xml:space="preserve">convened</w:t>
      </w:r>
      <w:proofErr w:type="gramEnd"/>
      <w:r w:rsidRPr="00D1417A">
        <w:rPr>
          <w:lang w:val="en-GB"/>
        </w:rPr>
        <w:t xml:space="preserve"> and the ethics committee is notified. No formal interim efficacy anal</w:t>
      </w:r>
      <w:r w:rsidRPr="00D1417A">
        <w:rPr>
          <w:lang w:val="en-GB"/>
        </w:rPr>
        <w:t xml:space="preserve">ysis is planned and no stopping rule for benefit is defined; blinded aggregate data reviews are conducted for data-quality purposes only, without hypothesis testing or between-arm comparison.</w:t>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ulcer prevented, with a 0.81 probability of being cost-e</w:t>
      </w:r>
      <w:r w:rsidRPr="00D1417A">
        <w:rPr>
          <w:lang w:val="en-GB"/>
        </w:rPr>
        <w:t xml:space="preserve">ffective, rising to €−5317 and 0.94 in the subgroup adherent to wearing the footwear [29].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w:t>
      </w:r>
      <w:r w:rsidRPr="00D1417A">
        <w:rPr>
          <w:lang w:val="en-GB"/>
        </w:rPr>
        <w:t xml:space="preserve"> four limitations that define what a subsequent evaluation should do: adopt a societal perspective, incorporate quality-adjusted life years, collect ulcer treatment costs prospectively rather than importing them from reference data, and extend beyond 18 months using a Markov model [29].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[30].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[31].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[32],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 xml:space="preserve">Because an 18-month horizon cannot capture the consequences of a prevented recurrence — further ulceration, </w:t>
      </w:r>
      <w:r w:rsidR="009A189C">
        <w:rPr>
          <w:lang w:val="en-GB"/>
        </w:rPr>
        <w:t xml:space="preserve">amputation,</w:t>
      </w:r>
      <w:r w:rsidRPr="00D1417A">
        <w:rPr>
          <w:lang w:val="en-GB"/>
        </w:rPr>
        <w:t xml:space="preserve"> and long-term care costs unfold over years — a state-transition Markov model extrapolates to five years, with health states corresponding to the trial's own clinical categories: ulcer-free, active ulcer, healed, minor amputation, major </w:t>
      </w:r>
      <w:r w:rsidR="009A189C">
        <w:rPr>
          <w:lang w:val="en-GB"/>
        </w:rPr>
        <w:t xml:space="preserve">amputation,</w:t>
      </w:r>
      <w:r w:rsidRPr="00D1417A">
        <w:rPr>
          <w:lang w:val="en-GB"/>
        </w:rPr>
        <w:t xml:space="preserve"> and death. Transition probabilities </w:t>
      </w:r>
      <w:r w:rsidR="009A189C">
        <w:rPr>
          <w:lang w:val="en-GB"/>
        </w:rPr>
        <w:t xml:space="preserve">were</w:t>
      </w:r>
      <w:r w:rsidRPr="00D1417A">
        <w:rPr>
          <w:lang w:val="en-GB"/>
        </w:rPr>
        <w:t xml:space="preserve"> derived from trial data where available and from published cohorts otherwise, with all external parameters and their sources tabulated and </w:t>
      </w:r>
      <w:r w:rsidR="009A189C">
        <w:rPr>
          <w:lang w:val="en-GB"/>
        </w:rPr>
        <w:t xml:space="preserve">varied in the </w:t>
      </w:r>
      <w:r w:rsidRPr="00D1417A">
        <w:rPr>
          <w:lang w:val="en-GB"/>
        </w:rPr>
        <w:t xml:space="preserve">sensitivity analysis. Prior modelling provides the comparators against which the resulting estimates will be interpreted: guideline-concordant prevention was cost-saving at €−904 per participant over </w:t>
      </w:r>
      <w:r w:rsidR="009A189C">
        <w:rPr>
          <w:lang w:val="en-GB"/>
        </w:rPr>
        <w:t xml:space="preserve">five years,</w:t>
      </w:r>
      <w:r w:rsidRPr="00D1417A">
        <w:rPr>
          <w:lang w:val="en-GB"/>
        </w:rPr>
        <w:t xml:space="preserve"> assuming adherence [33], and cost-effective over a lifetime horizon at under $25,000 per QALY gained [34]. A trial-based evaluation of at-home temperature monitoring in the same population and over the same 18-month horizon reported an ICER of €−11,580 per ulcer prevented with a 79% probability of cost-effectiveness [35] and provides the closest methodological precedent for the within-trial analysis reported here.</w:t>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[36]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 xml:space="preserve">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[5,7],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[17].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w:t>
      </w:r>
      <w:proofErr w:type="gramStart"/>
      <w:r w:rsidRPr="00D1417A">
        <w:rPr>
          <w:lang w:val="en-GB"/>
        </w:rPr>
        <w:t xml:space="preserve">committee</w:t>
      </w:r>
      <w:proofErr w:type="gramEnd"/>
      <w:r w:rsidRPr="00D1417A">
        <w:rPr>
          <w:lang w:val="en-GB"/>
        </w:rPr>
        <w:t xml:space="preserve"> and competent authority approvals have been obtained; this manuscript accompanies that submission. Protocol version ▮, dated ▮. Anticipated recruitment start ▮.</w:t>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[5]. Patient education, delivered conventionally, has shown no protective effect at all [1,6,7]. Objective adherence monitoring has been validated as a measurement technique [14] </w:t>
      </w:r>
      <w:r w:rsidRPr="00D1417A">
        <w:rPr>
          <w:lang w:val="en-GB"/>
        </w:rPr>
        <w:t xml:space="preserve">but implemented with only moderate success where it has been tried [14]. Continuous digital pressure feedback reduced recurrence in a proof-of-concept trial, again principally among adherent users [8].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recurrence from unrecognised repetitive trauma</w:t>
      </w:r>
      <w:r w:rsidRPr="00D1417A">
        <w:rPr>
          <w:lang w:val="en-GB"/>
        </w:rPr>
        <w:t xml:space="preserve"> [1,13]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[11], and the strongest evidence linking it to future ulceration remains observational and twelve months long [12].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[3].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 xml:space="preserve">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w:t>
      </w:r>
      <w:r w:rsidR="00BA0251">
        <w:rPr>
          <w:lang w:val="en-GB"/>
        </w:rPr>
        <w:t xml:space="preserve"/>
      </w:r>
      <w:r w:rsidRPr="00D1417A">
        <w:rPr>
          <w:lang w:val="en-GB"/>
        </w:rPr>
        <w:t xml:space="preserve"> DFD, diabetes-related foot disease; EASD, European Association for the Study of Diabetes; eCRF, electronic case report form; EQ-5D-5L, </w:t>
      </w:r>
      <w:proofErr w:type="spellStart"/>
      <w:r w:rsidRPr="00D1417A">
        <w:rPr>
          <w:lang w:val="en-GB"/>
        </w:rPr>
        <w:t xml:space="preserve">EuroQol</w:t>
      </w:r>
      <w:proofErr w:type="spellEnd"/>
      <w:r w:rsidRPr="00D1417A">
        <w:rPr>
          <w:lang w:val="en-GB"/>
        </w:rPr>
        <w:t xml:space="preserve"> five-dimension five-level questionnaire; FAIR, Findable, Accessible, Interoperable and Reusable; GCP, Good Clinical Practice; GDPR, General Data Protection Regulation; ICER, </w:t>
      </w:r>
      <w:r w:rsidRPr="00D1417A">
        <w:rPr>
          <w:lang w:val="en-GB"/>
        </w:rPr>
        <w:t xml:space="preserve">incremental cost-effectiveness ratio; ICH, International Council for Harmonisation; ICMJE, International Committee of Medical Journal Editors; ICUR, incremental cost-utility ratio; </w:t>
      </w:r>
      <w:proofErr w:type="spellStart"/>
      <w:r w:rsidRPr="00D1417A">
        <w:rPr>
          <w:lang w:val="en-GB"/>
        </w:rPr>
        <w:t xml:space="preserve">iMCQ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Medical Consumption Questionnaire; </w:t>
      </w:r>
      <w:proofErr w:type="spellStart"/>
      <w:r w:rsidRPr="00D1417A">
        <w:rPr>
          <w:lang w:val="en-GB"/>
        </w:rPr>
        <w:t xml:space="preserve">iPCQ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w:t>
      </w:r>
      <w:r w:rsidRPr="00D1417A">
        <w:rPr>
          <w:lang w:val="en-GB"/>
        </w:rPr>
        <w:t xml:space="preserve">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w:t>
      </w:r>
      <w:proofErr w:type="spellStart"/>
      <w:r w:rsidRPr="00D1417A">
        <w:rPr>
          <w:lang w:val="en-GB"/>
        </w:rPr>
        <w:t xml:space="preserve">TIDieR</w:t>
      </w:r>
      <w:proofErr w:type="spellEnd"/>
      <w:r w:rsidRPr="00D1417A">
        <w:rPr>
          <w:lang w:val="en-GB"/>
        </w:rPr>
        <w:t xml:space="preserve">, Template for Intervention Description and Replication; </w:t>
      </w:r>
      <w:proofErr w:type="spellStart"/>
      <w:r w:rsidRPr="00D1417A">
        <w:rPr>
          <w:lang w:val="en-GB"/>
        </w:rPr>
        <w:t xml:space="preserve">WIfI</w:t>
      </w:r>
      <w:proofErr w:type="spellEnd"/>
      <w:r w:rsidRPr="00D1417A">
        <w:rPr>
          <w:lang w:val="en-GB"/>
        </w:rPr>
        <w:t xml:space="preserve">, Wound, Ischaemia and foot Infection.</w:t>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 xml:space="preserve">Availability of data and materials.</w:t>
      </w:r>
      <w:r w:rsidRPr="00D1417A">
        <w:rPr>
          <w:lang w:val="en-GB"/>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ns2:paraId="11F664BB" ns2:textId="77777777" w:rsidR="00D47670" w:rsidRPr="00D1417A" w:rsidRDefault="00A02229">
      <w:pPr>
        <w:spacing w:after="140" w:line="276" w:lineRule="auto"/>
        <w:jc w:val="both"/>
        <w:rPr>
          <w:lang w:val="en-GB"/>
        </w:rPr>
      </w:pPr>
      <w:r w:rsidRPr="00D1417A">
        <w:rPr>
          <w:lang w:val="en-GB"/>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[11]; releasing this dataset as a reusable resource, including the intervals w</w:t>
      </w:r>
      <w:r w:rsidRPr="00D1417A">
        <w:rPr>
          <w:lang w:val="en-GB"/>
        </w:rPr>
        <w:t xml:space="preserve">here measurement failed, allows the field to pool across cohorts rather than repeat small studies independently. Data are curated to FAIR principles.</w:t>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 xml:space="preserve">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 xml:space="preserve">2. Bus SA, van Netten JJ. A shift in priority in diabetic foot care and research: 75% of foot ulcers are preventable. Diabetes Metab Res Rev. 2016;32(Suppl 1):195–200. doi:10.1002/dmrr.2738</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 xml:space="preserve">3. Bus SA, Zwaferink JB, Dahmen R, Busch-Westbroek T. State of the art design protocol for custom made footwear for people with diabetes and peripheral neuropathy. Diabetes Metab Res Rev. 2020;36(S1):e3237. doi:10.1002/dmrr.3237</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 xml:space="preserve">4. Bus SA, Sacco ICN, Monteiro-Soares M, Raspovic A, Paton J, Rasmussen A, et al. Guidelines on the prevention of foot ulcers in persons with diabetes (IWGDF 2023 update). Diabetes Metab Res Rev. 2024;40(3):e3651. doi:10.1002/dmrr.3651</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 xml:space="preserve">5. Bus SA, Waaijman R, Arts M, de Haart M, Busch-Westbroek T, van Baal J, et al. Effect of custom-made footwear on foot ulcer recurrence in diabetes: a multicenter randomized controlled trial. Diabetes Care. 2013;36(12):4109–4116. doi:10.2337/dc13-0996</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 xml:space="preserve">6. van Netten JJ, Price PE, Lavery LA, Monteiro-Soares M, Rasmussen A, Jubiz Y, et al. Prevention of foot ulcers in the at-risk patient with diabetes: a systematic review. Diabetes Metab Res Rev. 2016;32(Suppl 1):84–98. doi:10.1002/dmrr.2701</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 xml:space="preserve">7. Lincoln NB, Radford KA, Game FL, Jeffcoate WJ. Education for secondary prevention of foot ulcers in people with diabetes: a randomised controlled trial. Diabetologia. 2008;51(11):1954–1961. doi:10.1007/s00125-008-1110-0</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 xml:space="preserve">8.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 xml:space="preserve">9. Waaijman R, Keukenkamp R, de Haart M, Polomski WP, Nollet F, Bus SA. Adherence to wearing prescription custom-made footwear in patients with diabetes at high risk for plantar foot ulceration. Diabetes Care. 2013;36(6):1613–1618. doi:10.2337/dc12-1330</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 xml:space="preserve">10. van Netten JJ, van Baal JG, Bril A, Wissink M, Bus SA. An exploratory study on differences in cumulative plantar tissue stress between healing and non-healing plantar neuropathic diabetic foot ulcers. Clin Biomech. 2018;53:86–92. doi:10.1016/j.clinbiomech.2018.02.012</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 xml:space="preserve">11. Hulshof CM, Page M, van Baal SG, Bus SA, Fernando ME, van Gemert-Pijnen L, et al. The stress of measuring plantar tissue stress in people with diabetes-related foot ulcers: biomechanical and feasibility findings from two prospective cohort studies. Sensors. 2024;24(8):2411. doi:10.3390/s24082411</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 xml:space="preserve">12. Hulshof CM, van Netten JJ, Busch-Westbroek TE, Sabelis LWE, Peters EJG, Pijnappels M, et al. The predictive value of cumulative plantar tissue stress on future plantar foot ulceration in people with diabetes — a 12-month prospective observational study. Diabet Med. 2025;42:e70099. doi:10.1111/dme.70099</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 xml:space="preserve">13. Waaijman R, de Haart M, Arts MLJ, Wever D, Verlouw AJWE, Nollet F, et al. Risk factors for plantar foot ulcer recurrence in neuropathic diabetic patients. Diabetes Care. 2014;37(6):1697–1705. doi:10.2337/dc13-2470</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 xml:space="preserve">14. Lutjeboer T, van Netten JJ, Postema K, Hijmans JM. Validity and feasibility of a temperature sensor for measuring use and non-use of orthopaedic footwear. J Rehabil Med. 2018;50(10):920–926. doi:10.2340/16501977-2494</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 xml:space="preserve">15. Michie S, van Stralen MM, West R. The behaviour change wheel: a new method for characterising and designing behaviour change interventions. Implement Sci. 2011;6:42. doi:10.1186/1748-5908-6-42</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 xml:space="preserve">16. Morbach S, Kersken J, Lobmann R, Nobels F, Doggen K, Van Acker K. The German and Belgian accreditation models for diabetic foot services. Diabetes Metab Res Rev. 2016;32(Suppl 1):318–325. doi:10.1002/dmrr.2752</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 xml:space="preserve">17. Chan A-W, Boutron I, Hopewell S, Moher D, Schulz KF, Collins GS, et al. SPIRIT 2025 statement: updated guideline for protocols of randomised trials. BMJ. 2025;389:e081477. doi:10.1136/bmj-2024-081477</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 xml:space="preserve">18. Hoffmann TC, Glasziou PP, Boutron I, Milne R, Perera R, Moher D, et al. Better reporting of interventions: template for intervention description and replication (TIDieR) checklist and guide. BMJ. 2014;348:g1687. doi:10.1136/bmj.g1687</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 xml:space="preserve">19. Loudon K, Treweek S, Sullivan F, Donnan PT, Thorpe KE, Zwarenstein M. The PRECIS-2 tool: designing trials that are fit for purpose. BMJ. 2015;350:h2147. doi:10.1136/bmj.h2147</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 xml:space="preserve">20. Hopewell S, Chan A-W, Collins GS, Hróbjartsson A, Moher D, Schulz KF, et al. CONSORT 2025 statement: updated guideline for reporting randomised trials. BMJ. 2025;389:e081123. doi:10.1136/bmj-2024-081123</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 xml:space="preserve">21. Lincoln NB, Jeffcoate WJ, Ince P, Smith M, Radford KA. Validation of a new measure of protective footcare behaviour: the Nottingham Assessment of Functional Footcare (NAFF). Practical Diabetes International. 2007;24(4):207–211. doi:10.1002/pdi.1099</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 xml:space="preserve">22. Zwaferink JBJ, Nollet F, Bus SA. In-shoe pressure measurements in diabetic footwear practice: success rate and facilitators of and barriers to implementation. Sensors. 2024;24(6):1795. doi:10.3390/s24061795</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 xml:space="preserve">23.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 xml:space="preserve">24. van Netten JJ, Bus SA, Apelqvist J, Chen P, Chuter V, Fitridge R, et al. Definitions and criteria for diabetes-related foot disease (IWGDF 2023 update). Diabetes Metab Res Rev. 2024;40(3):e3654. doi:10.1002/dmrr.3654</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 xml:space="preserve">25. Dahmen R, Siemonsma PC, Monteiro S, Roorda LD, Lankhorst GJ, Boers M. Evaluation of the wear-and-tear scale for therapeutic footwear: results of a generalizability study. J Rehabil Med. 2018;50(6):569–574. doi:10.2340/16501977-2339</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 xml:space="preserve">26. Staniszewska A, Game F, Nixon J, Russell D, Armstrong DG, Ashmore C, et al. Development of a core outcome set for studies assessing interventions for diabetes-related foot ulceration. Diabetes Care. 2024;47(11):1958–1968. doi:10.2337/dc24-1112</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 xml:space="preserve">27. Keukenkamp R, van Netten JJ, Busch-Westbroek TE, Bus SA. Custom-made footwear designed for indoor use increases short-term and long-term adherence in people with diabetes at high ulcer risk. BMJ Open Diabetes Res Care. 2022;10(1):e002593. doi:10.1136/bmjdrc-2021-002593</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 xml:space="preserve">28. Staniszewska A, Jones A, Davies L, Game F, Nixon J, Russell D, et al. Development of a core descriptor set for studies assessing interventions for diabetes-related foot ulcers Diabetologia. 2026. doi:10.1007/s00125-026-06815-1</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 xml:space="preserve">29. Bus SA, van Netten JJ, Schouten DR, Dijkgraaf MGW. Cost-effectiveness of pressure-guided-offloading-improved custom-made footwear for people with diabetes at high risk of plantar foot ulceration. Diabetology. 2026;7(4):70. doi:10.3390/diabetology7040070</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 xml:space="preserve">30. Husereau D, Drummond M, Petrou S, Carswell C, Moher D, Greenberg D, et al. Consolidated Health Economic Evaluation Reporting Standards (CHEERS) statement. Pharmacoeconomics. 2013;31(5):361–367. doi:10.1007/s40273-013-0032-y</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 xml:space="preserve">31. Hakkaart-van Roijen L, Peeters S, Kanters T. Kostenhandleiding voor economische evaluaties in de gezondheidszorg: methodologie en referentieprijzen. Diemen: Zorginstituut Nederland; 2024.</w:t>
      </w:r>
    </w:p>
    <w:p ns2:paraId="11F664E0" ns2:textId="77777777" w:rsidR="00D47670" w:rsidRDefault="00A02229">
      <w:pPr>
        <w:spacing w:after="100"/>
        <w:ind w:left="454" w:hanging="454"/>
      </w:pPr>
      <w:r w:rsidRPr="00D1417A">
        <w:rPr>
          <w:sz w:val="20"/>
          <w:szCs w:val="20"/>
          <w:lang w:val="en-GB"/>
        </w:rPr>
        <w:t xml:space="preserve">32. Prompers L, Huijberts M, Schaper N, Apelqvist J, Bakker K, Edmonds M, et al. Resource utilisation and costs associated with the treatment of diabetic foot ulcers. Prospective data from the Eurodiale Study. Diabetologia. 2008;51(10):1826–1834. doi:10.1007/s00125-008-1089-6</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 xml:space="preserve">33. Ragnarson Tennvall G, Apelqvist J. Prevention of diabetes-related foot ulcers and amputations: a cost-utility analysis based on Markov model simulations. Diabetologia. 2001;44(11):2077–2087. doi:10.1007/s001250100013</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 xml:space="preserve">34. Ortegon MM, Redekop WK, Niessen LW. Cost-effectiveness of prevention and treatment of the diabetic foot: a Markov analysis. Diabetes Care. 2004;27(4):901–907. doi:10.2337/diacare.27.4.901</w:t>
      </w:r>
    </w:p>
    <w:p ns2:paraId="11F664E3" ns2:textId="77777777" w:rsidR="00D47670" w:rsidRPr="00D1417A" w:rsidRDefault="00A02229">
      <w:pPr>
        <w:rPr>
          <w:lang w:val="en-GB"/>
        </w:rPr>
      </w:pPr>
      <w:r w:rsidRPr="00D1417A">
        <w:rPr>
          <w:sz w:val="20"/>
          <w:lang w:val="en-GB"/>
        </w:rPr>
        <w:t xml:space="preserve">35. van Netten JJ, aan de Stegge WB, Dijkgraaf MGW, Bus SA. Cost-effectiveness of temperature monitoring to help prevent foot ulcer recurrence in people with diabetes: a multicenter randomized controlled trial. Diabetes Metab Res Rev. 2024;40(4):e3805. doi:10.1002/dmrr.3805</w:t>
      </w:r>
    </w:p>
    <w:p ns2:paraId="11F664E4" ns2:textId="7685600F" w:rsidR="00D47670" w:rsidRPr="00D1417A" w:rsidRDefault="00A02229">
      <w:pPr>
        <w:rPr>
          <w:lang w:val="en-GB"/>
        </w:rPr>
      </w:pPr>
      <w:r w:rsidRPr="00D1417A">
        <w:rPr>
          <w:sz w:val="20"/>
          <w:lang w:val="en-GB"/>
        </w:rPr>
        <w:t xml:space="preserve">36.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 xml:space="preserve">1</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tc>
        <w:tc>
          <w:tcPr>
            <w:tcW w:w="700" w:type="dxa"/>
            <w:tcMar>
              <w:top w:w="50" w:type="dxa"/>
              <w:left w:w="80" w:type="dxa"/>
              <w:bottom w:w="50" w:type="dxa"/>
              <w:right w:w="80" w:type="dxa"/>
            </w:tcMar>
          </w:tcPr>
          <w:p ns2:paraId="11F66575" ns2:textId="77777777" w:rsidR="00D47670" w:rsidRDefault="00A02229">
            <w:r>
              <w:rPr>
                <w:sz w:val="15"/>
                <w:szCs w:val="15"/>
              </w:rPr>
              <w:t xml:space="preserve">X</w:t>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p>
        </w:tc>
        <w:tc>
          <w:tcPr>
            <w:tcW w:w="700" w:type="dxa"/>
            <w:tcMar>
              <w:top w:w="50" w:type="dxa"/>
              <w:left w:w="80" w:type="dxa"/>
              <w:bottom w:w="50" w:type="dxa"/>
              <w:right w:w="80" w:type="dxa"/>
            </w:tcMar>
          </w:tcPr>
          <w:p ns2:paraId="11F66582" ns2:textId="77777777" w:rsidR="00D47670" w:rsidRDefault="00A02229">
            <w:r>
              <w:rPr>
                <w:sz w:val="15"/>
                <w:szCs w:val="15"/>
              </w:rPr>
              <w:t xml:space="preserve">X</w:t>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p>
        </w:tc>
        <w:tc>
          <w:tcPr>
            <w:tcW w:w="700" w:type="dxa"/>
            <w:tcMar>
              <w:top w:w="50" w:type="dxa"/>
              <w:left w:w="80" w:type="dxa"/>
              <w:bottom w:w="50" w:type="dxa"/>
              <w:right w:w="80" w:type="dxa"/>
            </w:tcMar>
          </w:tcPr>
          <w:p ns2:paraId="11F6659A" ns2:textId="77777777" w:rsidR="00D47670" w:rsidRDefault="00A02229">
            <w:r>
              <w:rPr>
                <w:sz w:val="15"/>
                <w:szCs w:val="15"/>
              </w:rPr>
              <w:t xml:space="preserve">X</w:t>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MoveMonitor 7-day activity recording</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r/>
          </w:p>
        </w:tc>
        <w:tc>
          <w:tcPr>
            <w:tcW w:w="1200" w:type="dxa"/>
            <w:tcMar>
              <w:top w:w="50" w:type="dxa"/>
              <w:left w:w="80" w:type="dxa"/>
              <w:bottom w:w="50" w:type="dxa"/>
              <w:right w:w="80" w:type="dxa"/>
            </w:tcMar>
          </w:tcPr>
          <w:p ns2:paraId="11F66640" ns2:textId="77777777" w:rsidR="00D47670" w:rsidRPr="00D1417A" w:rsidRDefault="00D47670">
            <w:pPr>
              <w:rPr>
                <w:lang w:val="en-GB"/>
              </w:rPr>
            </w:pPr>
            <w:r>
              <w:t xml:space="preserve">X</w:t>
            </w:r>
          </w:p>
        </w:tc>
        <w:tc>
          <w:tcPr>
            <w:tcW w:w="700" w:type="dxa"/>
            <w:tcMar>
              <w:top w:w="50" w:type="dxa"/>
              <w:left w:w="80" w:type="dxa"/>
              <w:bottom w:w="50" w:type="dxa"/>
              <w:right w:w="80" w:type="dxa"/>
            </w:tcMar>
          </w:tcPr>
          <w:p ns2:paraId="11F66641" ns2:textId="77777777" w:rsidR="00D47670" w:rsidRPr="00D1417A" w:rsidRDefault="00D47670">
            <w:pPr>
              <w:rPr>
                <w:lang w:val="en-GB"/>
              </w:rPr>
            </w:pPr>
            <w:r/>
          </w:p>
        </w:tc>
        <w:tc>
          <w:tcPr>
            <w:tcW w:w="700" w:type="dxa"/>
            <w:tcMar>
              <w:top w:w="50" w:type="dxa"/>
              <w:left w:w="80" w:type="dxa"/>
              <w:bottom w:w="50" w:type="dxa"/>
              <w:right w:w="80" w:type="dxa"/>
            </w:tcMar>
          </w:tcPr>
          <w:p ns2:paraId="11F66642" ns2:textId="77777777" w:rsidR="00D47670" w:rsidRDefault="00A02229">
            <w:r>
              <w:rPr>
                <w:sz w:val="15"/>
                <w:szCs w:val="15"/>
              </w:rPr>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r>
          </w:p>
        </w:tc>
        <w:tc>
          <w:tcPr>
            <w:tcW w:w="700" w:type="dxa"/>
            <w:tcMar>
              <w:top w:w="50" w:type="dxa"/>
              <w:left w:w="80" w:type="dxa"/>
              <w:bottom w:w="50" w:type="dxa"/>
              <w:right w:w="80" w:type="dxa"/>
            </w:tcMar>
          </w:tcPr>
          <w:p ns2:paraId="11F66645" ns2:textId="77777777" w:rsidR="00D47670" w:rsidRDefault="00A02229">
            <w:r>
              <w:rPr>
                <w:sz w:val="15"/>
                <w:szCs w:val="15"/>
              </w:rPr>
            </w:r>
          </w:p>
        </w:tc>
        <w:tc>
          <w:tcPr>
            <w:tcW w:w="700" w:type="dxa"/>
            <w:tcMar>
              <w:top w:w="50" w:type="dxa"/>
              <w:left w:w="80" w:type="dxa"/>
              <w:bottom w:w="50" w:type="dxa"/>
              <w:right w:w="80" w:type="dxa"/>
            </w:tcMar>
          </w:tcPr>
          <w:p ns2:paraId="11F66646" ns2:textId="77777777" w:rsidR="00D47670" w:rsidRDefault="00A02229">
            <w:r>
              <w:rPr>
                <w:sz w:val="15"/>
                <w:szCs w:val="15"/>
              </w:rPr>
            </w:r>
          </w:p>
        </w:tc>
        <w:tc>
          <w:tcPr>
            <w:tcW w:w="700" w:type="dxa"/>
            <w:tcMar>
              <w:top w:w="50" w:type="dxa"/>
              <w:left w:w="80" w:type="dxa"/>
              <w:bottom w:w="50" w:type="dxa"/>
              <w:right w:w="80" w:type="dxa"/>
            </w:tcMar>
          </w:tcPr>
          <w:p ns2:paraId="11F66647" ns2:textId="77777777" w:rsidR="00D47670" w:rsidRDefault="00A02229">
            <w:r>
              <w:rPr>
                <w:sz w:val="15"/>
                <w:szCs w:val="15"/>
              </w:rPr>
            </w:r>
          </w:p>
        </w:tc>
        <w:tc>
          <w:tcPr>
            <w:tcW w:w="1092" w:type="dxa"/>
            <w:tcMar>
              <w:top w:w="50" w:type="dxa"/>
              <w:left w:w="80" w:type="dxa"/>
              <w:bottom w:w="50" w:type="dxa"/>
              <w:right w:w="80" w:type="dxa"/>
            </w:tcMar>
          </w:tcPr>
          <w:p ns2:paraId="11F66648" ns2:textId="77777777" w:rsidR="00D47670" w:rsidRDefault="00D47670">
            <w:r/>
          </w:p>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Orthotimer read-out and battery replacement</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 xml:space="preserve">Rand./</w:t>
      </w:r>
      <w:proofErr w:type="gramEnd"/>
      <w:r w:rsidRPr="00D1417A">
        <w:rPr>
          <w:sz w:val="18"/>
          <w:szCs w:val="18"/>
          <w:lang w:val="en-GB"/>
        </w:rPr>
        <w:t xml:space="preserve">Base = randomisation and baseline visit;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 xml:space="preserve">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 xml:space="preserve">Continuous recording; read-out at each scheduled visit from 3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 xml:space="preserve">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 xml:space="preserve">Baseline, 6 and 12 </w:t>
            </w:r>
            <w:proofErr w:type="spellStart"/>
            <w:r>
              <w:rPr>
                <w:sz w:val="18"/>
                <w:szCs w:val="18"/>
              </w:rPr>
              <w:t xml:space="preserve">months</w:t>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 xml:space="preserve">1, 6, 12 and 18 </w:t>
            </w:r>
            <w:proofErr w:type="spellStart"/>
            <w:r>
              <w:rPr>
                <w:sz w:val="18"/>
                <w:szCs w:val="18"/>
              </w:rPr>
              <w:t xml:space="preserve">months</w:t>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 xml:space="preserve">All scheduled and unscheduled visits from month 1</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 xml:space="preserve">Prescription of a custom-made foot orthosis: 5 mm total-contact EVA layer; 3–5 mm medial arch support; </w:t>
            </w:r>
            <w:proofErr w:type="spellStart"/>
            <w:r w:rsidRPr="00D1417A">
              <w:rPr>
                <w:sz w:val="18"/>
                <w:szCs w:val="18"/>
                <w:lang w:val="en-GB"/>
              </w:rPr>
              <w:t xml:space="preserve">transmetatarsal</w:t>
            </w:r>
            <w:proofErr w:type="spellEnd"/>
            <w:r w:rsidRPr="00D1417A">
              <w:rPr>
                <w:sz w:val="18"/>
                <w:szCs w:val="18"/>
                <w:lang w:val="en-GB"/>
              </w:rPr>
              <w:t xml:space="preserve"> bar up to 9 mm; local depth relief; layered closed- over open-cell foam top cover.</w:t>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 xml:space="preserve">1 </w:t>
            </w:r>
            <w:proofErr w:type="spellStart"/>
            <w:r>
              <w:rPr>
                <w:sz w:val="18"/>
                <w:szCs w:val="18"/>
              </w:rPr>
              <w:t xml:space="preserve">month</w:t>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