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occurrence of infection (classified using PEDIS/WIfI; eCRF-Document 36/38), and occurrence of major (above-ankle) or minor (below-ankle) amputation (captured via adverse 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eCRF-Document 46 (AE/SAE Report Form).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eCRF-Document 46 (AE/SAE Report Form).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p>
      <w:pPr/>
      <w:r>
        <w:t>Staniszewska A, Jones A, Davies L, et al. Development of a core descriptor set for studies assessing interventions for diabetes-related foot ulceration. Diabetologia. 2026. doi:10.1007/s00125-026-06815-1</w:t>
      </w:r>
    </w:p>
    <w:p w14:paraId="54EEF9DD" w14:textId="0094EA9B" w:rsidR="0038180F" w:rsidRPr="00273BD4" w:rsidRDefault="0038180F">
      <w:pPr>
        <w:rPr>
          <w:rFonts w:ascii="Calibri" w:eastAsia="Times New Roman" w:hAnsi="Calibri" w:cs="Calibri"/>
          <w:kern w:val="0"/>
          <w14:ligatures w14:val="none"/>
        </w:rPr>
      </w:pPr>
      <w:r>
        <w:t>Staniszewska A, Game F, Nixon J, et al. Development of a core outcome set for studies assessing interventions for diabetes-related foot ulceration. Diabetes Care. 2024;47(11):1958–1968. doi:10.2337/dc24-1112</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