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b/>
          <w:color w:val="123A5F"/>
          <w:sz w:val="28"/>
        </w:rPr>
        <w:t>Appendix 9b: Werkinstructie plantaire drukmeting (Novel pedar)</w:t>
      </w:r>
    </w:p>
    <w:p>
      <w:pPr>
        <w:keepNext/>
        <w:spacing w:before="120" w:after="80"/>
      </w:pPr>
      <w:r>
        <w:rPr>
          <w:b/>
          <w:color w:val="123A5F"/>
          <w:sz w:val="24"/>
        </w:rPr>
        <w:t>Studie-informatie</w:t>
      </w:r>
    </w:p>
    <w:p>
      <w:r>
        <w:rPr>
          <w:b w:val="0"/>
          <w:i w:val="0"/>
          <w:sz w:val="22"/>
        </w:rPr>
        <w:t>Studie titel: Towards Pressure-Adherence &amp; Education Driven Service in Diabetic Foot Disease (PARADISE)</w:t>
      </w:r>
    </w:p>
    <w:p>
      <w:r>
        <w:rPr>
          <w:b w:val="0"/>
          <w:i w:val="0"/>
          <w:sz w:val="22"/>
        </w:rPr>
        <w:t>Protocolnummer: S71769</w:t>
      </w:r>
    </w:p>
    <w:p>
      <w:r>
        <w:rPr>
          <w:b w:val="0"/>
          <w:i w:val="0"/>
          <w:sz w:val="22"/>
        </w:rPr>
        <w:t>Studielocatie:</w:t>
      </w:r>
    </w:p>
    <w:p>
      <w:r>
        <w:rPr>
          <w:b w:val="0"/>
          <w:i w:val="0"/>
          <w:sz w:val="22"/>
        </w:rPr>
        <w:t>Hoofdonderzoeker (PI):</w:t>
      </w:r>
    </w:p>
    <w:p>
      <w:r>
        <w:rPr>
          <w:b w:val="0"/>
          <w:i w:val="0"/>
          <w:sz w:val="22"/>
        </w:rPr>
        <w:t>Deelnemerscode:</w:t>
      </w:r>
    </w:p>
    <w:p>
      <w:r>
        <w:rPr>
          <w:b w:val="0"/>
          <w:i w:val="0"/>
          <w:sz w:val="22"/>
        </w:rPr>
        <w:t>Visite:                                    Datum:</w:t>
      </w:r>
    </w:p>
    <w:p>
      <w:r>
        <w:rPr>
          <w:b w:val="0"/>
          <w:i w:val="0"/>
          <w:sz w:val="22"/>
        </w:rPr>
      </w:r>
    </w:p>
    <w:p>
      <w:r>
        <w:rPr>
          <w:b w:val="0"/>
          <w:i/>
          <w:sz w:val="22"/>
        </w:rPr>
        <w:t>Hoort bij eCRF 09 (drukmeting baseline) en eCRF 24 (drukherverdeling voetorthese). Software: novel database light 29.3.18 en novel studio v1.20.0.340. Noteren gebeurt op het blad ‘Meting’ van de Pressure Monitoring Tool.</w:t>
      </w:r>
    </w:p>
    <w:p>
      <w:pPr>
        <w:keepNext/>
        <w:spacing w:before="200" w:after="80"/>
      </w:pPr>
      <w:r>
        <w:rPr>
          <w:b/>
          <w:color w:val="123A5F"/>
          <w:sz w:val="24"/>
        </w:rPr>
        <w:t>1. De opstelling</w:t>
      </w:r>
    </w:p>
    <w:p>
      <w:pPr>
        <w:keepNext/>
        <w:spacing w:before="160"/>
      </w:pPr>
      <w:r>
        <w:rPr>
          <w:b/>
          <w:color w:val="123A5F"/>
          <w:sz w:val="20"/>
        </w:rPr>
        <w:t>Figuur 1: De router naast het looppad van tien meter</w:t>
      </w:r>
    </w:p>
    <w:p>
      <w:pPr>
        <w:spacing w:after="160"/>
        <w:jc w:val="center"/>
      </w:pPr>
      <w:r>
        <w:drawing>
          <wp:inline xmlns:a="http://schemas.openxmlformats.org/drawingml/2006/main" xmlns:pic="http://schemas.openxmlformats.org/drawingml/2006/picture">
            <wp:extent cx="3420000" cy="2563614"/>
            <wp:docPr id="1" name="Picture 1"/>
            <wp:cNvGraphicFramePr>
              <a:graphicFrameLocks noChangeAspect="1"/>
            </wp:cNvGraphicFramePr>
            <a:graphic>
              <a:graphicData uri="http://schemas.openxmlformats.org/drawingml/2006/picture">
                <pic:pic>
                  <pic:nvPicPr>
                    <pic:cNvPr id="0" name="20260910_100935.jpg"/>
                    <pic:cNvPicPr/>
                  </pic:nvPicPr>
                  <pic:blipFill>
                    <a:blip r:embed="rId10"/>
                    <a:stretch>
                      <a:fillRect/>
                    </a:stretch>
                  </pic:blipFill>
                  <pic:spPr>
                    <a:xfrm>
                      <a:off x="0" y="0"/>
                      <a:ext cx="3420000" cy="2563614"/>
                    </a:xfrm>
                    <a:prstGeom prst="rect"/>
                  </pic:spPr>
                </pic:pic>
              </a:graphicData>
            </a:graphic>
          </wp:inline>
        </w:drawing>
      </w:r>
    </w:p>
    <w:p>
      <w:pPr>
        <w:ind w:left="397" w:hanging="397"/>
      </w:pPr>
      <w:r>
        <w:rPr>
          <w:b/>
        </w:rPr>
        <w:t xml:space="preserve">1. </w:t>
      </w:r>
      <w:r>
        <w:t>Zet de router aan. Het netwerk heet plidarRouterE046; de toestellen praten daarover met de laptop.</w:t>
      </w:r>
    </w:p>
    <w:p>
      <w:pPr>
        <w:ind w:left="397" w:hanging="397"/>
      </w:pPr>
      <w:r>
        <w:rPr>
          <w:b/>
        </w:rPr>
        <w:t xml:space="preserve">2. </w:t>
      </w:r>
      <w:r>
        <w:t>Zorg voor een vlakke looproute van minstens 10 meter, vrij van obstakels, binnen bereik van de router.</w:t>
      </w:r>
    </w:p>
    <w:p>
      <w:pPr>
        <w:ind w:left="397" w:hanging="397"/>
      </w:pPr>
      <w:r>
        <w:rPr>
          <w:b/>
        </w:rPr>
        <w:t xml:space="preserve">3. </w:t>
      </w:r>
      <w:r>
        <w:t>Start novel database light op de laptop. De meting begint daar, niet in novel studio.</w:t>
      </w:r>
    </w:p>
    <w:p>
      <w:pPr>
        <w:keepNext/>
        <w:spacing w:before="200" w:after="80"/>
      </w:pPr>
      <w:r>
        <w:rPr>
          <w:b/>
          <w:color w:val="123A5F"/>
          <w:sz w:val="24"/>
        </w:rPr>
        <w:t>2. De kleurenschaal instellen — eenmalig per laptop</w:t>
      </w:r>
    </w:p>
    <w:p>
      <w:r>
        <w:rPr>
          <w:b w:val="0"/>
          <w:i/>
          <w:sz w:val="22"/>
        </w:rPr>
        <w:t>Doe dit één keer per laptop, vóór de eerste deelnemer. Het palet zit in novel studio, dus start dat programma hier eenmalig los op. Staat het palet al goed, ga dan meteen door naar hoofdstuk 3.</w:t>
      </w:r>
    </w:p>
    <w:p>
      <w:r>
        <w:rPr>
          <w:b/>
          <w:i w:val="0"/>
          <w:sz w:val="22"/>
        </w:rPr>
        <w:t>Zolang de zool niet in regio’s verdeeld kan worden, doet het palet dat werk: het toont met kleur waar de druk boven de norm uitkomt. Zonder deze instelling kun je stap 41 niet uitvoeren.</w:t>
      </w:r>
    </w:p>
    <w:p>
      <w:pPr>
        <w:keepNext/>
        <w:spacing w:before="160"/>
      </w:pPr>
      <w:r>
        <w:rPr>
          <w:b/>
          <w:color w:val="123A5F"/>
          <w:sz w:val="20"/>
        </w:rPr>
        <w:t>Figuur 2: Configure palette — het hoogste niveau bepaalt waar de norm zichtbaar wordt</w:t>
      </w:r>
    </w:p>
    <w:p>
      <w:pPr>
        <w:spacing w:after="160"/>
        <w:jc w:val="center"/>
      </w:pPr>
      <w:r>
        <w:drawing>
          <wp:inline xmlns:a="http://schemas.openxmlformats.org/drawingml/2006/main" xmlns:pic="http://schemas.openxmlformats.org/drawingml/2006/picture">
            <wp:extent cx="5760000" cy="3204795"/>
            <wp:docPr id="2" name="Picture 2"/>
            <wp:cNvGraphicFramePr>
              <a:graphicFrameLocks noChangeAspect="1"/>
            </wp:cNvGraphicFramePr>
            <a:graphic>
              <a:graphicData uri="http://schemas.openxmlformats.org/drawingml/2006/picture">
                <pic:pic>
                  <pic:nvPicPr>
                    <pic:cNvPr id="0" name="Schermafbeelding 2026-09-10 100038.png"/>
                    <pic:cNvPicPr/>
                  </pic:nvPicPr>
                  <pic:blipFill>
                    <a:blip r:embed="rId11"/>
                    <a:stretch>
                      <a:fillRect/>
                    </a:stretch>
                  </pic:blipFill>
                  <pic:spPr>
                    <a:xfrm>
                      <a:off x="0" y="0"/>
                      <a:ext cx="5760000" cy="3204795"/>
                    </a:xfrm>
                    <a:prstGeom prst="rect"/>
                  </pic:spPr>
                </pic:pic>
              </a:graphicData>
            </a:graphic>
          </wp:inline>
        </w:drawing>
      </w:r>
    </w:p>
    <w:p>
      <w:pPr>
        <w:ind w:left="397" w:hanging="397"/>
      </w:pPr>
      <w:r>
        <w:rPr>
          <w:b/>
        </w:rPr>
        <w:t xml:space="preserve">4. </w:t>
      </w:r>
      <w:r>
        <w:t>Open ‘Configure palette’ en zet het in op:</w:t>
      </w:r>
    </w:p>
    <w:p>
      <w:pPr>
        <w:pStyle w:val="ListBullet"/>
        <w:ind w:left="680"/>
      </w:pPr>
      <w:r>
        <w:t>Pressure Cut Off: 20 kPa</w:t>
      </w:r>
    </w:p>
    <w:p>
      <w:pPr>
        <w:pStyle w:val="ListBullet"/>
        <w:ind w:left="680"/>
      </w:pPr>
      <w:r>
        <w:t>Sensor resolution: 2,5 kPa — dat is de opgegeven resolutie van de zool</w:t>
      </w:r>
    </w:p>
    <w:p>
      <w:pPr>
        <w:pStyle w:val="ListBullet"/>
        <w:ind w:left="680"/>
      </w:pPr>
      <w:r>
        <w:t>Kleurgrenzen: 20 · 40 · 60 · 100 · 150 · 200 kPa, met 200 als hoogste niveau</w:t>
      </w:r>
    </w:p>
    <w:p>
      <w:r>
        <w:rPr>
          <w:b w:val="0"/>
          <w:i/>
          <w:sz w:val="22"/>
        </w:rPr>
        <w:t>Het niveau van 220 uit de standaardinstelling gaat eruit. Zo is er één topkleur, en die betekent één ding: hier ligt de druk op of boven de norm.</w:t>
      </w:r>
    </w:p>
    <w:p>
      <w:pPr>
        <w:ind w:left="397" w:hanging="397"/>
      </w:pPr>
      <w:r>
        <w:rPr>
          <w:b/>
        </w:rPr>
        <w:t xml:space="preserve">5. </w:t>
      </w:r>
      <w:r>
        <w:t>Bewaar de instelling met ‘Save custom set’ en gebruik ‘Load custom set’ om hem op elke laptop te laden. Alle zes de centra werken met hetzelfde bestand.</w:t>
      </w:r>
    </w:p>
    <w:p>
      <w:r>
        <w:rPr>
          <w:b/>
          <w:i w:val="0"/>
          <w:sz w:val="22"/>
        </w:rPr>
        <w:t>Wijzig het palet niet tussen deelnemers of visites: dan zijn de schermafbeeldingen onderling niet meer vergelijkbaar.</w:t>
      </w:r>
    </w:p>
    <w:p>
      <w:pPr>
        <w:keepNext/>
        <w:spacing w:before="200" w:after="80"/>
      </w:pPr>
      <w:r>
        <w:rPr>
          <w:b/>
          <w:color w:val="123A5F"/>
          <w:sz w:val="24"/>
        </w:rPr>
        <w:t>3. De deelnemer in de database</w:t>
      </w:r>
    </w:p>
    <w:p>
      <w:r>
        <w:rPr>
          <w:b/>
          <w:i w:val="0"/>
          <w:sz w:val="22"/>
        </w:rPr>
        <w:t>De meting start in novel database light 29.3.18. Een meting die daar begint hangt meteen aan de juiste persoon en het juiste bezoek; begin je in novel studio, dan krijg je een los bestand dat achteraf gekoppeld moet worden.</w:t>
      </w:r>
    </w:p>
    <w:p>
      <w:pPr>
        <w:keepNext/>
        <w:spacing w:before="160"/>
      </w:pPr>
      <w:r>
        <w:rPr>
          <w:b/>
          <w:color w:val="123A5F"/>
          <w:sz w:val="20"/>
        </w:rPr>
        <w:t>Figuur 3: novel database light bij het opstarten, in simple mode</w:t>
      </w:r>
    </w:p>
    <w:p>
      <w:pPr>
        <w:spacing w:after="160"/>
        <w:jc w:val="center"/>
      </w:pPr>
      <w:r>
        <w:drawing>
          <wp:inline xmlns:a="http://schemas.openxmlformats.org/drawingml/2006/main" xmlns:pic="http://schemas.openxmlformats.org/drawingml/2006/picture">
            <wp:extent cx="5400000" cy="3211724"/>
            <wp:docPr id="3" name="Picture 3"/>
            <wp:cNvGraphicFramePr>
              <a:graphicFrameLocks noChangeAspect="1"/>
            </wp:cNvGraphicFramePr>
            <a:graphic>
              <a:graphicData uri="http://schemas.openxmlformats.org/drawingml/2006/picture">
                <pic:pic>
                  <pic:nvPicPr>
                    <pic:cNvPr id="0" name="Schermafbeelding 2026-09-14 093611.png"/>
                    <pic:cNvPicPr/>
                  </pic:nvPicPr>
                  <pic:blipFill>
                    <a:blip r:embed="rId12"/>
                    <a:stretch>
                      <a:fillRect/>
                    </a:stretch>
                  </pic:blipFill>
                  <pic:spPr>
                    <a:xfrm>
                      <a:off x="0" y="0"/>
                      <a:ext cx="5400000" cy="3211724"/>
                    </a:xfrm>
                    <a:prstGeom prst="rect"/>
                  </pic:spPr>
                </pic:pic>
              </a:graphicData>
            </a:graphic>
          </wp:inline>
        </w:drawing>
      </w:r>
    </w:p>
    <w:p>
      <w:pPr>
        <w:ind w:left="340"/>
      </w:pPr>
      <w:r>
        <w:rPr>
          <w:b w:val="0"/>
          <w:i/>
          <w:sz w:val="22"/>
        </w:rPr>
        <w:t>‘New data set’ maakt een nieuwe deelnemer aan, ‘Search’ zoekt een bestaande op. ‘Go to Advanced mode’ zet alle tabellen naast elkaar; dat heb je voor een gewone meting niet nodig.</w:t>
      </w:r>
    </w:p>
    <w:p>
      <w:pPr>
        <w:keepNext/>
        <w:spacing w:before="160"/>
      </w:pPr>
      <w:r>
        <w:rPr>
          <w:b/>
          <w:color w:val="123A5F"/>
          <w:sz w:val="20"/>
        </w:rPr>
        <w:t>Figuur 4: De databases op deze computer; die van de studie heet Sint_Jan_Paradise_Project</w:t>
      </w:r>
    </w:p>
    <w:p>
      <w:pPr>
        <w:spacing w:after="160"/>
        <w:jc w:val="center"/>
      </w:pPr>
      <w:r>
        <w:drawing>
          <wp:inline xmlns:a="http://schemas.openxmlformats.org/drawingml/2006/main" xmlns:pic="http://schemas.openxmlformats.org/drawingml/2006/picture">
            <wp:extent cx="5400000" cy="3205393"/>
            <wp:docPr id="4" name="Picture 4"/>
            <wp:cNvGraphicFramePr>
              <a:graphicFrameLocks noChangeAspect="1"/>
            </wp:cNvGraphicFramePr>
            <a:graphic>
              <a:graphicData uri="http://schemas.openxmlformats.org/drawingml/2006/picture">
                <pic:pic>
                  <pic:nvPicPr>
                    <pic:cNvPr id="0" name="Schermafbeelding 2026-09-14 093655.png"/>
                    <pic:cNvPicPr/>
                  </pic:nvPicPr>
                  <pic:blipFill>
                    <a:blip r:embed="rId13"/>
                    <a:stretch>
                      <a:fillRect/>
                    </a:stretch>
                  </pic:blipFill>
                  <pic:spPr>
                    <a:xfrm>
                      <a:off x="0" y="0"/>
                      <a:ext cx="5400000" cy="3205393"/>
                    </a:xfrm>
                    <a:prstGeom prst="rect"/>
                  </pic:spPr>
                </pic:pic>
              </a:graphicData>
            </a:graphic>
          </wp:inline>
        </w:drawing>
      </w:r>
    </w:p>
    <w:p>
      <w:pPr>
        <w:ind w:left="397" w:hanging="397"/>
      </w:pPr>
      <w:r>
        <w:rPr>
          <w:b/>
        </w:rPr>
        <w:t xml:space="preserve">6. </w:t>
      </w:r>
      <w:r>
        <w:t>Kies de database Sint_Jan_Paradise_Project. Alias ‘local’, authenticatie via Windows. Staat er ‘Connected’ in het groen, dan is de verbinding in orde. Laat de twee demodatabases ongemoeid.</w:t>
      </w:r>
    </w:p>
    <w:p>
      <w:pPr>
        <w:ind w:left="397" w:hanging="397"/>
      </w:pPr>
      <w:r>
        <w:rPr>
          <w:b/>
        </w:rPr>
        <w:t xml:space="preserve">7. </w:t>
      </w:r>
      <w:r>
        <w:t>Zoek de deelnemer met ‘Search’. Staat die er nog niet, maak hem dan aan met ‘New data set’.</w:t>
      </w:r>
    </w:p>
    <w:p>
      <w:pPr>
        <w:keepNext/>
        <w:spacing w:before="160"/>
      </w:pPr>
      <w:r>
        <w:rPr>
          <w:b/>
          <w:color w:val="123A5F"/>
          <w:sz w:val="20"/>
        </w:rPr>
        <w:t>Figuur 5: Persons — alleen de deelnemerscode, geen naam</w:t>
      </w:r>
    </w:p>
    <w:p>
      <w:pPr>
        <w:spacing w:after="160"/>
        <w:jc w:val="center"/>
      </w:pPr>
      <w:r>
        <w:drawing>
          <wp:inline xmlns:a="http://schemas.openxmlformats.org/drawingml/2006/main" xmlns:pic="http://schemas.openxmlformats.org/drawingml/2006/picture">
            <wp:extent cx="5400000" cy="3218054"/>
            <wp:docPr id="5" name="Picture 5"/>
            <wp:cNvGraphicFramePr>
              <a:graphicFrameLocks noChangeAspect="1"/>
            </wp:cNvGraphicFramePr>
            <a:graphic>
              <a:graphicData uri="http://schemas.openxmlformats.org/drawingml/2006/picture">
                <pic:pic>
                  <pic:nvPicPr>
                    <pic:cNvPr id="0" name="Schermafbeelding 2026-09-14 093745.png"/>
                    <pic:cNvPicPr/>
                  </pic:nvPicPr>
                  <pic:blipFill>
                    <a:blip r:embed="rId14"/>
                    <a:stretch>
                      <a:fillRect/>
                    </a:stretch>
                  </pic:blipFill>
                  <pic:spPr>
                    <a:xfrm>
                      <a:off x="0" y="0"/>
                      <a:ext cx="5400000" cy="3218054"/>
                    </a:xfrm>
                    <a:prstGeom prst="rect"/>
                  </pic:spPr>
                </pic:pic>
              </a:graphicData>
            </a:graphic>
          </wp:inline>
        </w:drawing>
      </w:r>
    </w:p>
    <w:p>
      <w:pPr>
        <w:ind w:left="397" w:hanging="397"/>
      </w:pPr>
      <w:r>
        <w:rPr>
          <w:b/>
        </w:rPr>
        <w:t xml:space="preserve">8. </w:t>
      </w:r>
      <w:r>
        <w:t>Vul bij ID en External ID de deelnemerscode in, zet een X in First name en Last name, en 01/01/1900 bij Date of birth. Laat adres, telefoonnummer en beroep leeg.</w:t>
      </w:r>
    </w:p>
    <w:p>
      <w:pPr>
        <w:ind w:left="340"/>
      </w:pPr>
      <w:r>
        <w:rPr>
          <w:b w:val="0"/>
          <w:i/>
          <w:sz w:val="22"/>
        </w:rPr>
        <w:t>De database vraagt naam en geboortedatum omdat ze voor klinische dossiers gebouwd is; in de studie hoort daar niets herleidbaars in. Dezelfde 01/01/1900 voor élke deelnemer — het veld Age komt daardoor op 126, en dat is het teken dat het een plaatshouder is.</w:t>
      </w:r>
    </w:p>
    <w:p>
      <w:pPr>
        <w:keepNext/>
        <w:spacing w:before="160"/>
      </w:pPr>
      <w:r>
        <w:rPr>
          <w:b/>
          <w:color w:val="123A5F"/>
          <w:sz w:val="20"/>
        </w:rPr>
        <w:t>Figuur 6: Visits — datum, leeftijd, lengte, gewicht en schoenmaat</w:t>
      </w:r>
    </w:p>
    <w:p>
      <w:pPr>
        <w:spacing w:after="160"/>
        <w:jc w:val="center"/>
      </w:pPr>
      <w:r>
        <w:drawing>
          <wp:inline xmlns:a="http://schemas.openxmlformats.org/drawingml/2006/main" xmlns:pic="http://schemas.openxmlformats.org/drawingml/2006/picture">
            <wp:extent cx="3960000" cy="3352878"/>
            <wp:docPr id="6" name="Picture 6"/>
            <wp:cNvGraphicFramePr>
              <a:graphicFrameLocks noChangeAspect="1"/>
            </wp:cNvGraphicFramePr>
            <a:graphic>
              <a:graphicData uri="http://schemas.openxmlformats.org/drawingml/2006/picture">
                <pic:pic>
                  <pic:nvPicPr>
                    <pic:cNvPr id="0" name="Schermafbeelding 2026-09-14 093804.png"/>
                    <pic:cNvPicPr/>
                  </pic:nvPicPr>
                  <pic:blipFill>
                    <a:blip r:embed="rId15"/>
                    <a:stretch>
                      <a:fillRect/>
                    </a:stretch>
                  </pic:blipFill>
                  <pic:spPr>
                    <a:xfrm>
                      <a:off x="0" y="0"/>
                      <a:ext cx="3960000" cy="3352878"/>
                    </a:xfrm>
                    <a:prstGeom prst="rect"/>
                  </pic:spPr>
                </pic:pic>
              </a:graphicData>
            </a:graphic>
          </wp:inline>
        </w:drawing>
      </w:r>
    </w:p>
    <w:p>
      <w:pPr>
        <w:ind w:left="397" w:hanging="397"/>
      </w:pPr>
      <w:r>
        <w:rPr>
          <w:b/>
        </w:rPr>
        <w:t xml:space="preserve">9. </w:t>
      </w:r>
      <w:r>
        <w:t>Klik op ‘Add Visit’ en vul datum, lengte, gewicht en schoenmaat in. Het gewicht is nodig om de drukwaarden later te kunnen normaliseren.</w:t>
      </w:r>
    </w:p>
    <w:p>
      <w:pPr>
        <w:ind w:left="340"/>
      </w:pPr>
      <w:r>
        <w:rPr>
          <w:b w:val="0"/>
          <w:i/>
          <w:sz w:val="22"/>
        </w:rPr>
        <w:t>Elk meetmoment is een apart bezoek. History, Comments, Results en Conclusion zijn vrije tekst — zet daar niets in dat naar de deelnemer herleidbaar is.</w:t>
      </w:r>
    </w:p>
    <w:p>
      <w:pPr>
        <w:keepNext/>
        <w:spacing w:before="160"/>
      </w:pPr>
      <w:r>
        <w:rPr>
          <w:b/>
          <w:color w:val="123A5F"/>
          <w:sz w:val="20"/>
        </w:rPr>
        <w:t>Figuur 7: pedar Files — hier staat de knop ‘Measure’</w:t>
      </w:r>
    </w:p>
    <w:p>
      <w:pPr>
        <w:spacing w:after="160"/>
        <w:jc w:val="center"/>
      </w:pPr>
      <w:r>
        <w:drawing>
          <wp:inline xmlns:a="http://schemas.openxmlformats.org/drawingml/2006/main" xmlns:pic="http://schemas.openxmlformats.org/drawingml/2006/picture">
            <wp:extent cx="3960000" cy="3267000"/>
            <wp:docPr id="7" name="Picture 7"/>
            <wp:cNvGraphicFramePr>
              <a:graphicFrameLocks noChangeAspect="1"/>
            </wp:cNvGraphicFramePr>
            <a:graphic>
              <a:graphicData uri="http://schemas.openxmlformats.org/drawingml/2006/picture">
                <pic:pic>
                  <pic:nvPicPr>
                    <pic:cNvPr id="0" name="Schermafbeelding 2026-09-14 093843.png"/>
                    <pic:cNvPicPr/>
                  </pic:nvPicPr>
                  <pic:blipFill>
                    <a:blip r:embed="rId16"/>
                    <a:stretch>
                      <a:fillRect/>
                    </a:stretch>
                  </pic:blipFill>
                  <pic:spPr>
                    <a:xfrm>
                      <a:off x="0" y="0"/>
                      <a:ext cx="3960000" cy="3267000"/>
                    </a:xfrm>
                    <a:prstGeom prst="rect"/>
                  </pic:spPr>
                </pic:pic>
              </a:graphicData>
            </a:graphic>
          </wp:inline>
        </w:drawing>
      </w:r>
    </w:p>
    <w:p>
      <w:pPr>
        <w:ind w:left="340"/>
      </w:pPr>
      <w:r>
        <w:rPr>
          <w:b/>
          <w:i w:val="0"/>
          <w:sz w:val="22"/>
        </w:rPr>
        <w:t>Ga naar het tabblad pedar Files en laat dat openstaan. De knop ‘Measure’ gebruik je in hoofdstuk 10, zodra de zolen aangesloten en nulgesteld zijn. Klik er nu nog niet op.</w:t>
      </w:r>
    </w:p>
    <w:p>
      <w:pPr>
        <w:keepNext/>
        <w:spacing w:before="200" w:after="80"/>
      </w:pPr>
      <w:r>
        <w:rPr>
          <w:b/>
          <w:color w:val="123A5F"/>
          <w:sz w:val="24"/>
        </w:rPr>
        <w:t>4. De juiste zool kiezen — dit is de belangrijkste stap</w:t>
      </w:r>
    </w:p>
    <w:p>
      <w:r>
        <w:rPr>
          <w:b/>
          <w:i w:val="0"/>
          <w:sz w:val="22"/>
        </w:rPr>
        <w:t>Elke zool heeft een eigen maat én een eigen kalibratie. Kies je de verkeerde zool of het verkeerde configuratiebestand, dan meet de software door met verkeerde waarden, zonder te waarschuwen. Niets vangt dat achteraf op.</w:t>
      </w:r>
    </w:p>
    <w:p>
      <w:pPr>
        <w:keepNext/>
        <w:spacing w:before="160"/>
      </w:pPr>
      <w:r>
        <w:rPr>
          <w:b/>
          <w:color w:val="123A5F"/>
          <w:sz w:val="20"/>
        </w:rPr>
        <w:t>Figuur 8: Het label op de zool: XW.830R — maat XW, nummer 830, rechts</w:t>
      </w:r>
    </w:p>
    <w:p>
      <w:pPr>
        <w:spacing w:after="160"/>
        <w:jc w:val="center"/>
      </w:pPr>
      <w:r>
        <w:drawing>
          <wp:inline xmlns:a="http://schemas.openxmlformats.org/drawingml/2006/main" xmlns:pic="http://schemas.openxmlformats.org/drawingml/2006/picture">
            <wp:extent cx="2880000" cy="2160000"/>
            <wp:docPr id="8" name="Picture 8"/>
            <wp:cNvGraphicFramePr>
              <a:graphicFrameLocks noChangeAspect="1"/>
            </wp:cNvGraphicFramePr>
            <a:graphic>
              <a:graphicData uri="http://schemas.openxmlformats.org/drawingml/2006/picture">
                <pic:pic>
                  <pic:nvPicPr>
                    <pic:cNvPr id="0" name="20260910_101052.jpg"/>
                    <pic:cNvPicPr/>
                  </pic:nvPicPr>
                  <pic:blipFill>
                    <a:blip r:embed="rId17"/>
                    <a:stretch>
                      <a:fillRect/>
                    </a:stretch>
                  </pic:blipFill>
                  <pic:spPr>
                    <a:xfrm>
                      <a:off x="0" y="0"/>
                      <a:ext cx="2880000" cy="2160000"/>
                    </a:xfrm>
                    <a:prstGeom prst="rect"/>
                  </pic:spPr>
                </pic:pic>
              </a:graphicData>
            </a:graphic>
          </wp:inline>
        </w:drawing>
      </w:r>
    </w:p>
    <w:p>
      <w:pPr>
        <w:ind w:left="340"/>
      </w:pPr>
      <w:r>
        <w:rPr>
          <w:b w:val="0"/>
          <w:i w:val="0"/>
          <w:sz w:val="22"/>
        </w:rPr>
        <w:t>Het label leest van links naar rechts: de maat (XW), het volgnummer van deze zool (830) en de kant (R). Dat is precies de code die in de naam van het configuratiebestand terugkomt: plidar-G026R_xw830R.</w:t>
      </w:r>
    </w:p>
    <w:p>
      <w:r>
        <w:rPr>
          <w:b w:val="0"/>
          <w:i w:val="0"/>
          <w:sz w:val="22"/>
        </w:rPr>
      </w:r>
    </w:p>
    <w:p>
      <w:r>
        <w:rPr>
          <w:b/>
          <w:i w:val="0"/>
          <w:sz w:val="22"/>
        </w:rPr>
        <w:t>De studie heeft vijf maten in huis, allemaal wide (W):</w:t>
      </w:r>
    </w:p>
    <w:tbl>
      <w:tblPr>
        <w:tblStyle w:val="TableGrid"/>
        <w:tblW w:type="auto" w:w="0"/>
        <w:jc w:val="left"/>
        <w:tblLook w:firstColumn="1" w:firstRow="1" w:lastColumn="0" w:lastRow="0" w:noHBand="0" w:noVBand="1" w:val="04A0"/>
      </w:tblPr>
      <w:tblGrid>
        <w:gridCol w:w="2256"/>
        <w:gridCol w:w="2256"/>
        <w:gridCol w:w="2256"/>
        <w:gridCol w:w="2256"/>
      </w:tblGrid>
      <w:tr>
        <w:tc>
          <w:tcPr>
            <w:tcW w:type="dxa" w:w="1247"/>
          </w:tcPr>
          <w:p>
            <w:r/>
            <w:r>
              <w:rPr>
                <w:b/>
                <w:color w:val="123A5F"/>
                <w:sz w:val="20"/>
              </w:rPr>
              <w:t>Maat</w:t>
            </w:r>
          </w:p>
        </w:tc>
        <w:tc>
          <w:tcPr>
            <w:tcW w:type="dxa" w:w="1928"/>
          </w:tcPr>
          <w:p>
            <w:r/>
            <w:r>
              <w:rPr>
                <w:b/>
                <w:color w:val="123A5F"/>
                <w:sz w:val="20"/>
              </w:rPr>
              <w:t>EU-schoenmaat</w:t>
            </w:r>
          </w:p>
        </w:tc>
        <w:tc>
          <w:tcPr>
            <w:tcW w:type="dxa" w:w="2268"/>
          </w:tcPr>
          <w:p>
            <w:r/>
            <w:r>
              <w:rPr>
                <w:b/>
                <w:color w:val="123A5F"/>
                <w:sz w:val="20"/>
              </w:rPr>
              <w:t>Zool links</w:t>
            </w:r>
          </w:p>
        </w:tc>
        <w:tc>
          <w:tcPr>
            <w:tcW w:type="dxa" w:w="2268"/>
          </w:tcPr>
          <w:p>
            <w:r/>
            <w:r>
              <w:rPr>
                <w:b/>
                <w:color w:val="123A5F"/>
                <w:sz w:val="20"/>
              </w:rPr>
              <w:t>Zool rechts</w:t>
            </w:r>
          </w:p>
        </w:tc>
      </w:tr>
      <w:tr>
        <w:tc>
          <w:tcPr>
            <w:tcW w:type="dxa" w:w="1247"/>
          </w:tcPr>
          <w:p>
            <w:r/>
            <w:r>
              <w:rPr>
                <w:sz w:val="20"/>
              </w:rPr>
              <w:t>UW</w:t>
            </w:r>
          </w:p>
        </w:tc>
        <w:tc>
          <w:tcPr>
            <w:tcW w:type="dxa" w:w="1928"/>
          </w:tcPr>
          <w:p>
            <w:r/>
            <w:r>
              <w:rPr>
                <w:sz w:val="20"/>
              </w:rPr>
              <w:t>36/37</w:t>
            </w:r>
          </w:p>
        </w:tc>
        <w:tc>
          <w:tcPr>
            <w:tcW w:type="dxa" w:w="2268"/>
          </w:tcPr>
          <w:p>
            <w:r/>
            <w:r>
              <w:rPr>
                <w:sz w:val="20"/>
              </w:rPr>
              <w:t>UW.389L</w:t>
            </w:r>
          </w:p>
        </w:tc>
        <w:tc>
          <w:tcPr>
            <w:tcW w:type="dxa" w:w="2268"/>
          </w:tcPr>
          <w:p>
            <w:r/>
            <w:r>
              <w:rPr>
                <w:sz w:val="20"/>
              </w:rPr>
              <w:t>UW.384R</w:t>
            </w:r>
          </w:p>
        </w:tc>
      </w:tr>
      <w:tr>
        <w:tc>
          <w:tcPr>
            <w:tcW w:type="dxa" w:w="1247"/>
          </w:tcPr>
          <w:p>
            <w:r/>
            <w:r>
              <w:rPr>
                <w:sz w:val="20"/>
              </w:rPr>
              <w:t>VW</w:t>
            </w:r>
          </w:p>
        </w:tc>
        <w:tc>
          <w:tcPr>
            <w:tcW w:type="dxa" w:w="1928"/>
          </w:tcPr>
          <w:p>
            <w:r/>
            <w:r>
              <w:rPr>
                <w:sz w:val="20"/>
              </w:rPr>
              <w:t>38/39</w:t>
            </w:r>
          </w:p>
        </w:tc>
        <w:tc>
          <w:tcPr>
            <w:tcW w:type="dxa" w:w="2268"/>
          </w:tcPr>
          <w:p>
            <w:r/>
            <w:r>
              <w:rPr>
                <w:sz w:val="20"/>
              </w:rPr>
              <w:t>VW.607L</w:t>
            </w:r>
          </w:p>
        </w:tc>
        <w:tc>
          <w:tcPr>
            <w:tcW w:type="dxa" w:w="2268"/>
          </w:tcPr>
          <w:p>
            <w:r/>
            <w:r>
              <w:rPr>
                <w:sz w:val="20"/>
              </w:rPr>
              <w:t>VW.606R</w:t>
            </w:r>
          </w:p>
        </w:tc>
      </w:tr>
      <w:tr>
        <w:tc>
          <w:tcPr>
            <w:tcW w:type="dxa" w:w="1247"/>
          </w:tcPr>
          <w:p>
            <w:r/>
            <w:r>
              <w:rPr>
                <w:sz w:val="20"/>
              </w:rPr>
              <w:t>WW</w:t>
            </w:r>
          </w:p>
        </w:tc>
        <w:tc>
          <w:tcPr>
            <w:tcW w:type="dxa" w:w="1928"/>
          </w:tcPr>
          <w:p>
            <w:r/>
            <w:r>
              <w:rPr>
                <w:sz w:val="20"/>
              </w:rPr>
              <w:t>40/41</w:t>
            </w:r>
          </w:p>
        </w:tc>
        <w:tc>
          <w:tcPr>
            <w:tcW w:type="dxa" w:w="2268"/>
          </w:tcPr>
          <w:p>
            <w:r/>
            <w:r>
              <w:rPr>
                <w:sz w:val="20"/>
              </w:rPr>
              <w:t>WW.727L</w:t>
            </w:r>
          </w:p>
        </w:tc>
        <w:tc>
          <w:tcPr>
            <w:tcW w:type="dxa" w:w="2268"/>
          </w:tcPr>
          <w:p>
            <w:r/>
            <w:r>
              <w:rPr>
                <w:sz w:val="20"/>
              </w:rPr>
              <w:t>WW.728R</w:t>
            </w:r>
          </w:p>
        </w:tc>
      </w:tr>
      <w:tr>
        <w:tc>
          <w:tcPr>
            <w:tcW w:type="dxa" w:w="1247"/>
          </w:tcPr>
          <w:p>
            <w:r/>
            <w:r>
              <w:rPr>
                <w:sz w:val="20"/>
              </w:rPr>
              <w:t>XW</w:t>
            </w:r>
          </w:p>
        </w:tc>
        <w:tc>
          <w:tcPr>
            <w:tcW w:type="dxa" w:w="1928"/>
          </w:tcPr>
          <w:p>
            <w:r/>
            <w:r>
              <w:rPr>
                <w:sz w:val="20"/>
              </w:rPr>
              <w:t>42/43</w:t>
            </w:r>
          </w:p>
        </w:tc>
        <w:tc>
          <w:tcPr>
            <w:tcW w:type="dxa" w:w="2268"/>
          </w:tcPr>
          <w:p>
            <w:r/>
            <w:r>
              <w:rPr>
                <w:sz w:val="20"/>
              </w:rPr>
              <w:t>XW.831L</w:t>
            </w:r>
          </w:p>
        </w:tc>
        <w:tc>
          <w:tcPr>
            <w:tcW w:type="dxa" w:w="2268"/>
          </w:tcPr>
          <w:p>
            <w:r/>
            <w:r>
              <w:rPr>
                <w:sz w:val="20"/>
              </w:rPr>
              <w:t>XW.830R</w:t>
            </w:r>
          </w:p>
        </w:tc>
      </w:tr>
      <w:tr>
        <w:tc>
          <w:tcPr>
            <w:tcW w:type="dxa" w:w="1247"/>
          </w:tcPr>
          <w:p>
            <w:r/>
            <w:r>
              <w:rPr>
                <w:sz w:val="20"/>
              </w:rPr>
              <w:t>YW</w:t>
            </w:r>
          </w:p>
        </w:tc>
        <w:tc>
          <w:tcPr>
            <w:tcW w:type="dxa" w:w="1928"/>
          </w:tcPr>
          <w:p>
            <w:r/>
            <w:r>
              <w:rPr>
                <w:sz w:val="20"/>
              </w:rPr>
              <w:t>44/45</w:t>
            </w:r>
          </w:p>
        </w:tc>
        <w:tc>
          <w:tcPr>
            <w:tcW w:type="dxa" w:w="2268"/>
          </w:tcPr>
          <w:p>
            <w:r/>
            <w:r>
              <w:rPr>
                <w:sz w:val="20"/>
              </w:rPr>
              <w:t>YW.709L</w:t>
            </w:r>
          </w:p>
        </w:tc>
        <w:tc>
          <w:tcPr>
            <w:tcW w:type="dxa" w:w="2268"/>
          </w:tcPr>
          <w:p>
            <w:r/>
            <w:r>
              <w:rPr>
                <w:sz w:val="20"/>
              </w:rPr>
              <w:t>YW.712R</w:t>
            </w:r>
          </w:p>
        </w:tc>
      </w:tr>
    </w:tbl>
    <w:p/>
    <w:p>
      <w:r>
        <w:rPr>
          <w:b w:val="0"/>
          <w:i/>
          <w:sz w:val="22"/>
        </w:rPr>
        <w:t>De EU-maten komen uit de pedar® Insole Catalogue van novel gmbh. Elke maat dekt twee schoenmaten.</w:t>
      </w:r>
    </w:p>
    <w:p>
      <w:r>
        <w:rPr>
          <w:b/>
          <w:i w:val="0"/>
          <w:sz w:val="22"/>
        </w:rPr>
        <w:t>Schoenmaat 46 en groter wordt gemeten met YW, de grootste maat in huis; de zool in de schoen vangt het verschil op. Schoenmaat is geen reden om niet te meten.</w:t>
      </w:r>
    </w:p>
    <w:p>
      <w:r>
        <w:rPr>
          <w:b w:val="0"/>
          <w:i w:val="0"/>
          <w:sz w:val="22"/>
        </w:rPr>
      </w:r>
    </w:p>
    <w:p>
      <w:pPr>
        <w:ind w:left="397" w:hanging="397"/>
      </w:pPr>
      <w:r>
        <w:rPr>
          <w:b/>
        </w:rPr>
        <w:t xml:space="preserve">10. </w:t>
      </w:r>
      <w:r>
        <w:t>Vraag de schoenmaat van de deelnemer en kies de zool uit de tabel hierboven.</w:t>
      </w:r>
    </w:p>
    <w:p>
      <w:pPr>
        <w:ind w:left="397" w:hanging="397"/>
      </w:pPr>
      <w:r>
        <w:rPr>
          <w:b/>
        </w:rPr>
        <w:t xml:space="preserve">11. </w:t>
      </w:r>
      <w:r>
        <w:t>Lees het label op de zool en noteer de volledige code — bijvoorbeeld XW.830R — in blok 1. Je hebt ze nodig om het configuratiebestand te kiezen.</w:t>
      </w:r>
    </w:p>
    <w:p>
      <w:pPr>
        <w:ind w:left="397" w:hanging="397"/>
      </w:pPr>
      <w:r>
        <w:rPr>
          <w:b/>
        </w:rPr>
        <w:t xml:space="preserve">12. </w:t>
      </w:r>
      <w:r>
        <w:t>Controleer dat je een linker- en een rechterzool van dezelfde maat neemt.</w:t>
      </w:r>
    </w:p>
    <w:p>
      <w:pPr>
        <w:keepNext/>
        <w:spacing w:before="200" w:after="80"/>
      </w:pPr>
      <w:r>
        <w:rPr>
          <w:b/>
          <w:color w:val="123A5F"/>
          <w:sz w:val="24"/>
        </w:rPr>
        <w:t>5. Aansluiten en aanzetten</w:t>
      </w:r>
    </w:p>
    <w:p>
      <w:pPr>
        <w:keepNext/>
        <w:spacing w:before="160"/>
      </w:pPr>
      <w:r>
        <w:rPr>
          <w:b/>
          <w:color w:val="123A5F"/>
          <w:sz w:val="20"/>
        </w:rPr>
        <w:t>Figuur 9: De zender plidar-G009 L, met de pedar-connector; de L staat voor links</w:t>
      </w:r>
    </w:p>
    <w:p>
      <w:pPr>
        <w:spacing w:after="160"/>
        <w:jc w:val="center"/>
      </w:pPr>
      <w:r>
        <w:drawing>
          <wp:inline xmlns:a="http://schemas.openxmlformats.org/drawingml/2006/main" xmlns:pic="http://schemas.openxmlformats.org/drawingml/2006/picture">
            <wp:extent cx="2880000" cy="2158276"/>
            <wp:docPr id="9" name="Picture 9"/>
            <wp:cNvGraphicFramePr>
              <a:graphicFrameLocks noChangeAspect="1"/>
            </wp:cNvGraphicFramePr>
            <a:graphic>
              <a:graphicData uri="http://schemas.openxmlformats.org/drawingml/2006/picture">
                <pic:pic>
                  <pic:nvPicPr>
                    <pic:cNvPr id="0" name="20260910_101023.jpg"/>
                    <pic:cNvPicPr/>
                  </pic:nvPicPr>
                  <pic:blipFill>
                    <a:blip r:embed="rId18"/>
                    <a:stretch>
                      <a:fillRect/>
                    </a:stretch>
                  </pic:blipFill>
                  <pic:spPr>
                    <a:xfrm>
                      <a:off x="0" y="0"/>
                      <a:ext cx="2880000" cy="2158276"/>
                    </a:xfrm>
                    <a:prstGeom prst="rect"/>
                  </pic:spPr>
                </pic:pic>
              </a:graphicData>
            </a:graphic>
          </wp:inline>
        </w:drawing>
      </w:r>
    </w:p>
    <w:p>
      <w:pPr>
        <w:ind w:left="397" w:hanging="397"/>
      </w:pPr>
      <w:r>
        <w:rPr>
          <w:b/>
        </w:rPr>
        <w:t xml:space="preserve">13. </w:t>
      </w:r>
      <w:r>
        <w:t>Sluit de linkerzool aan op de zender met L in de naam, en de rechterzool op die met R. De letter op de connector en op de zender moeten overeenkomen.</w:t>
      </w:r>
    </w:p>
    <w:p>
      <w:pPr>
        <w:ind w:left="397" w:hanging="397"/>
      </w:pPr>
      <w:r>
        <w:rPr>
          <w:b/>
        </w:rPr>
        <w:t xml:space="preserve">14. </w:t>
      </w:r>
      <w:r>
        <w:t>Zet beide zenders aan met de knop bovenaan.</w:t>
      </w:r>
    </w:p>
    <w:p>
      <w:pPr>
        <w:ind w:left="340"/>
      </w:pPr>
      <w:r>
        <w:rPr>
          <w:b/>
          <w:i w:val="0"/>
          <w:sz w:val="22"/>
        </w:rPr>
        <w:t>De zolen blijven voorlopig op tafel liggen. Ze gaan pas in de schoen na het nulstellen, in stap 27.</w:t>
      </w:r>
    </w:p>
    <w:p>
      <w:pPr>
        <w:keepNext/>
        <w:spacing w:before="200" w:after="80"/>
      </w:pPr>
      <w:r>
        <w:rPr>
          <w:b/>
          <w:color w:val="123A5F"/>
          <w:sz w:val="24"/>
        </w:rPr>
        <w:t>6. Toestellen verbinden</w:t>
      </w:r>
    </w:p>
    <w:p>
      <w:pPr>
        <w:keepNext/>
        <w:spacing w:before="160"/>
      </w:pPr>
      <w:r>
        <w:rPr>
          <w:b/>
          <w:color w:val="123A5F"/>
          <w:sz w:val="20"/>
        </w:rPr>
        <w:t>Figuur 10: Manage Devices — toestellen nog niet verbonden</w:t>
      </w:r>
    </w:p>
    <w:p>
      <w:pPr>
        <w:spacing w:after="160"/>
        <w:jc w:val="center"/>
      </w:pPr>
      <w:r>
        <w:drawing>
          <wp:inline xmlns:a="http://schemas.openxmlformats.org/drawingml/2006/main" xmlns:pic="http://schemas.openxmlformats.org/drawingml/2006/picture">
            <wp:extent cx="5760000" cy="3430340"/>
            <wp:docPr id="10" name="Picture 10"/>
            <wp:cNvGraphicFramePr>
              <a:graphicFrameLocks noChangeAspect="1"/>
            </wp:cNvGraphicFramePr>
            <a:graphic>
              <a:graphicData uri="http://schemas.openxmlformats.org/drawingml/2006/picture">
                <pic:pic>
                  <pic:nvPicPr>
                    <pic:cNvPr id="0" name="Schermafbeelding 2026-09-10 100244.png"/>
                    <pic:cNvPicPr/>
                  </pic:nvPicPr>
                  <pic:blipFill>
                    <a:blip r:embed="rId19"/>
                    <a:stretch>
                      <a:fillRect/>
                    </a:stretch>
                  </pic:blipFill>
                  <pic:spPr>
                    <a:xfrm>
                      <a:off x="0" y="0"/>
                      <a:ext cx="5760000" cy="3430340"/>
                    </a:xfrm>
                    <a:prstGeom prst="rect"/>
                  </pic:spPr>
                </pic:pic>
              </a:graphicData>
            </a:graphic>
          </wp:inline>
        </w:drawing>
      </w:r>
    </w:p>
    <w:p>
      <w:pPr>
        <w:ind w:left="397" w:hanging="397"/>
      </w:pPr>
      <w:r>
        <w:rPr>
          <w:b/>
        </w:rPr>
        <w:t xml:space="preserve">15. </w:t>
      </w:r>
      <w:r>
        <w:t>Ga naar ‘Manage Devices’ en klik op ‘Scan Wi-Fi’ bij ‘pedar &amp; pliance’.</w:t>
      </w:r>
    </w:p>
    <w:p>
      <w:pPr>
        <w:ind w:left="397" w:hanging="397"/>
      </w:pPr>
      <w:r>
        <w:rPr>
          <w:b/>
        </w:rPr>
        <w:t xml:space="preserve">16. </w:t>
      </w:r>
      <w:r>
        <w:t>Er verschijnen twee toestellen. Staat er ‘Device lost’, klik dan op ‘Connect’ onder elk toestel.</w:t>
      </w:r>
    </w:p>
    <w:p>
      <w:pPr>
        <w:ind w:left="340"/>
      </w:pPr>
      <w:r>
        <w:rPr>
          <w:b w:val="0"/>
          <w:i/>
          <w:sz w:val="22"/>
        </w:rPr>
        <w:t>De router deelt de IP-adressen wisselend uit. Ga af op de naam — plidar-G009L en plidar-G026R — nooit op het IP.</w:t>
      </w:r>
    </w:p>
    <w:p>
      <w:pPr>
        <w:keepNext/>
        <w:spacing w:before="160"/>
      </w:pPr>
      <w:r>
        <w:rPr>
          <w:b/>
          <w:color w:val="123A5F"/>
          <w:sz w:val="20"/>
        </w:rPr>
        <w:t>Figuur 11: Manage Devices — beide toestellen verbonden en klaar</w:t>
      </w:r>
    </w:p>
    <w:p>
      <w:pPr>
        <w:spacing w:after="160"/>
        <w:jc w:val="center"/>
      </w:pPr>
      <w:r>
        <w:drawing>
          <wp:inline xmlns:a="http://schemas.openxmlformats.org/drawingml/2006/main" xmlns:pic="http://schemas.openxmlformats.org/drawingml/2006/picture">
            <wp:extent cx="5760000" cy="3432591"/>
            <wp:docPr id="11" name="Picture 11"/>
            <wp:cNvGraphicFramePr>
              <a:graphicFrameLocks noChangeAspect="1"/>
            </wp:cNvGraphicFramePr>
            <a:graphic>
              <a:graphicData uri="http://schemas.openxmlformats.org/drawingml/2006/picture">
                <pic:pic>
                  <pic:nvPicPr>
                    <pic:cNvPr id="0" name="Schermafbeelding 2026-09-10 101213.png"/>
                    <pic:cNvPicPr/>
                  </pic:nvPicPr>
                  <pic:blipFill>
                    <a:blip r:embed="rId20"/>
                    <a:stretch>
                      <a:fillRect/>
                    </a:stretch>
                  </pic:blipFill>
                  <pic:spPr>
                    <a:xfrm>
                      <a:off x="0" y="0"/>
                      <a:ext cx="5760000" cy="3432591"/>
                    </a:xfrm>
                    <a:prstGeom prst="rect"/>
                  </pic:spPr>
                </pic:pic>
              </a:graphicData>
            </a:graphic>
          </wp:inline>
        </w:drawing>
      </w:r>
    </w:p>
    <w:p>
      <w:pPr>
        <w:ind w:left="397" w:hanging="397"/>
      </w:pPr>
      <w:r>
        <w:rPr>
          <w:b/>
        </w:rPr>
        <w:t xml:space="preserve">17. </w:t>
      </w:r>
      <w:r>
        <w:t>Controleer per toestel dat de balk op ‘Ready’ staat, en noteer in blok 2:</w:t>
      </w:r>
    </w:p>
    <w:p>
      <w:pPr>
        <w:pStyle w:val="ListBullet"/>
        <w:ind w:left="680"/>
      </w:pPr>
      <w:r>
        <w:t>De naam: plidar-G009L is links, plidar-G026R is rechts</w:t>
      </w:r>
    </w:p>
    <w:p>
      <w:pPr>
        <w:pStyle w:val="ListBullet"/>
        <w:ind w:left="680"/>
      </w:pPr>
      <w:r>
        <w:t>Firmware version en Hardware version</w:t>
      </w:r>
    </w:p>
    <w:p>
      <w:pPr>
        <w:pStyle w:val="ListBullet"/>
        <w:ind w:left="680"/>
      </w:pPr>
      <w:r>
        <w:t>SD (Free/Total) — er moet ruimte vrij zijn</w:t>
      </w:r>
    </w:p>
    <w:p>
      <w:pPr>
        <w:pStyle w:val="ListBullet"/>
        <w:ind w:left="680"/>
      </w:pPr>
      <w:r>
        <w:t>Battery — het percentage van beide toestellen. Onder de 30% niet aan een meting beginnen: laad eerst op.</w:t>
      </w:r>
    </w:p>
    <w:p>
      <w:pPr>
        <w:ind w:left="340"/>
      </w:pPr>
      <w:r>
        <w:rPr>
          <w:b w:val="0"/>
          <w:i/>
          <w:sz w:val="22"/>
        </w:rPr>
        <w:t>Pas als een toestel verbonden is, verschijnt het in de balk onderaan het scherm, met zijn naam en batterijpercentage. Staan ze daar allebei, dan is de verbinding in orde.</w:t>
      </w:r>
    </w:p>
    <w:p>
      <w:pPr>
        <w:keepNext/>
        <w:spacing w:before="200" w:after="80"/>
      </w:pPr>
      <w:r>
        <w:rPr>
          <w:b/>
          <w:color w:val="123A5F"/>
          <w:sz w:val="24"/>
        </w:rPr>
        <w:t>7. Het configuratiebestand koppelen</w:t>
      </w:r>
    </w:p>
    <w:p>
      <w:pPr>
        <w:keepNext/>
        <w:spacing w:before="160"/>
      </w:pPr>
      <w:r>
        <w:rPr>
          <w:b/>
          <w:color w:val="123A5F"/>
          <w:sz w:val="20"/>
        </w:rPr>
        <w:t>Figuur 12: Select config file — links de bestanden op het toestel, rechts die op de computer</w:t>
      </w:r>
    </w:p>
    <w:p>
      <w:pPr>
        <w:spacing w:after="160"/>
        <w:jc w:val="center"/>
      </w:pPr>
      <w:r>
        <w:drawing>
          <wp:inline xmlns:a="http://schemas.openxmlformats.org/drawingml/2006/main" xmlns:pic="http://schemas.openxmlformats.org/drawingml/2006/picture">
            <wp:extent cx="5760000" cy="3443845"/>
            <wp:docPr id="12" name="Picture 12"/>
            <wp:cNvGraphicFramePr>
              <a:graphicFrameLocks noChangeAspect="1"/>
            </wp:cNvGraphicFramePr>
            <a:graphic>
              <a:graphicData uri="http://schemas.openxmlformats.org/drawingml/2006/picture">
                <pic:pic>
                  <pic:nvPicPr>
                    <pic:cNvPr id="0" name="Schermafbeelding 2026-09-10 101240.png"/>
                    <pic:cNvPicPr/>
                  </pic:nvPicPr>
                  <pic:blipFill>
                    <a:blip r:embed="rId21"/>
                    <a:stretch>
                      <a:fillRect/>
                    </a:stretch>
                  </pic:blipFill>
                  <pic:spPr>
                    <a:xfrm>
                      <a:off x="0" y="0"/>
                      <a:ext cx="5760000" cy="3443845"/>
                    </a:xfrm>
                    <a:prstGeom prst="rect"/>
                  </pic:spPr>
                </pic:pic>
              </a:graphicData>
            </a:graphic>
          </wp:inline>
        </w:drawing>
      </w:r>
    </w:p>
    <w:p>
      <w:pPr>
        <w:ind w:left="397" w:hanging="397"/>
      </w:pPr>
      <w:r>
        <w:rPr>
          <w:b/>
        </w:rPr>
        <w:t xml:space="preserve">18. </w:t>
      </w:r>
      <w:r>
        <w:t>Klik bij het linkertoestel op ‘Select config file’.</w:t>
      </w:r>
    </w:p>
    <w:p>
      <w:pPr>
        <w:ind w:left="397" w:hanging="397"/>
      </w:pPr>
      <w:r>
        <w:rPr>
          <w:b/>
        </w:rPr>
        <w:t xml:space="preserve">19. </w:t>
      </w:r>
      <w:r>
        <w:t>Kies het bestand waarvan de code overeenkomt met het label dat je in stap 11 hebt genoteerd. Voor zool XW.831L is dat plidar-G009L_xw831L.</w:t>
      </w:r>
    </w:p>
    <w:p>
      <w:pPr>
        <w:ind w:left="397" w:hanging="397"/>
      </w:pPr>
      <w:r>
        <w:rPr>
          <w:b/>
        </w:rPr>
        <w:t xml:space="preserve">20. </w:t>
      </w:r>
      <w:r>
        <w:t>Het scherm toont twee kolommen: links de bestanden die op het toestel staan, rechts die op de computer. Zet het vinkje links, bij het bestand op het toestel — dat is wat de meting gebruikt.</w:t>
      </w:r>
    </w:p>
    <w:p>
      <w:pPr>
        <w:ind w:left="340"/>
      </w:pPr>
      <w:r>
        <w:rPr>
          <w:b w:val="0"/>
          <w:i/>
          <w:sz w:val="22"/>
        </w:rPr>
        <w:t>Staat het bestand rechts niet in de lijst, dan hindert dat de meting niet — niet elke laptop heeft alle vijf lokaal. Wil je het er toch bij: ‘Pick configuration file’ of ‘Import config file’.</w:t>
      </w:r>
    </w:p>
    <w:p>
      <w:pPr>
        <w:ind w:left="397" w:hanging="397"/>
      </w:pPr>
      <w:r>
        <w:rPr>
          <w:b/>
        </w:rPr>
        <w:t xml:space="preserve">21. </w:t>
      </w:r>
      <w:r>
        <w:t>Herhaal voor het rechtertoestel, met het bestand dat op R eindigt.</w:t>
      </w:r>
    </w:p>
    <w:p>
      <w:pPr>
        <w:ind w:left="397" w:hanging="397"/>
      </w:pPr>
      <w:r>
        <w:rPr>
          <w:b/>
        </w:rPr>
        <w:t xml:space="preserve">22. </w:t>
      </w:r>
      <w:r>
        <w:t>Ga terug naar ‘Manage Devices’ en controleer bij ‘Configuration’ dat het gekozen bestand er in het geel staat. Vergelijk die tekst letter voor letter met het label op de zool.</w:t>
      </w:r>
    </w:p>
    <w:p>
      <w:pPr>
        <w:ind w:left="340"/>
      </w:pPr>
      <w:r>
        <w:rPr>
          <w:b w:val="0"/>
          <w:i/>
          <w:sz w:val="22"/>
        </w:rPr>
        <w:t>Elke zender heeft vijf configuratiebestanden in het geheugen, één per maat. De zender weet niet welke zool je hebt aangesloten — die koppeling maak jij, en alleen hier.</w:t>
      </w:r>
    </w:p>
    <w:p>
      <w:pPr>
        <w:keepNext/>
        <w:spacing w:before="160"/>
      </w:pPr>
      <w:r>
        <w:rPr>
          <w:b/>
          <w:color w:val="123A5F"/>
          <w:sz w:val="20"/>
        </w:rPr>
        <w:t>Figuur 13: Zo ziet een verkeerde koppeling eruit: toestel plidar-G009L met een configuratie van plidar-G026</w:t>
      </w:r>
    </w:p>
    <w:p>
      <w:pPr>
        <w:spacing w:after="160"/>
        <w:jc w:val="center"/>
      </w:pPr>
      <w:r>
        <w:drawing>
          <wp:inline xmlns:a="http://schemas.openxmlformats.org/drawingml/2006/main" xmlns:pic="http://schemas.openxmlformats.org/drawingml/2006/picture">
            <wp:extent cx="5760000" cy="3597719"/>
            <wp:docPr id="13" name="Picture 13"/>
            <wp:cNvGraphicFramePr>
              <a:graphicFrameLocks noChangeAspect="1"/>
            </wp:cNvGraphicFramePr>
            <a:graphic>
              <a:graphicData uri="http://schemas.openxmlformats.org/drawingml/2006/picture">
                <pic:pic>
                  <pic:nvPicPr>
                    <pic:cNvPr id="0" name="Schermafbeelding 2026-09-14 093934.png"/>
                    <pic:cNvPicPr/>
                  </pic:nvPicPr>
                  <pic:blipFill>
                    <a:blip r:embed="rId22"/>
                    <a:stretch>
                      <a:fillRect/>
                    </a:stretch>
                  </pic:blipFill>
                  <pic:spPr>
                    <a:xfrm>
                      <a:off x="0" y="0"/>
                      <a:ext cx="5760000" cy="3597719"/>
                    </a:xfrm>
                    <a:prstGeom prst="rect"/>
                  </pic:spPr>
                </pic:pic>
              </a:graphicData>
            </a:graphic>
          </wp:inline>
        </w:drawing>
      </w:r>
    </w:p>
    <w:p>
      <w:pPr>
        <w:ind w:left="340"/>
      </w:pPr>
      <w:r>
        <w:rPr>
          <w:b/>
          <w:i w:val="0"/>
          <w:sz w:val="22"/>
        </w:rPr>
        <w:t>Hier staat bij ‘Configuration’ een bestand dat met plidar-G026 begint terwijl het toestel plidar-G009L heet: de linkerzender met de rechterconfiguratie. De software waarschuwt niet en meet door. Vergelijk de gele tekst met de naam van het toestel én met het zoollabel.</w:t>
      </w:r>
    </w:p>
    <w:p>
      <w:pPr>
        <w:keepNext/>
        <w:spacing w:before="200" w:after="80"/>
      </w:pPr>
      <w:r>
        <w:rPr>
          <w:b/>
          <w:color w:val="123A5F"/>
          <w:sz w:val="24"/>
        </w:rPr>
        <w:t>8. Nulstellen en meetfrequentie</w:t>
      </w:r>
    </w:p>
    <w:p>
      <w:pPr>
        <w:keepNext/>
        <w:spacing w:before="160"/>
      </w:pPr>
      <w:r>
        <w:rPr>
          <w:b/>
          <w:color w:val="123A5F"/>
          <w:sz w:val="20"/>
        </w:rPr>
        <w:t>Figuur 14: Measure — nulstellen en meetfrequentie</w:t>
      </w:r>
    </w:p>
    <w:p>
      <w:pPr>
        <w:spacing w:after="160"/>
        <w:jc w:val="center"/>
      </w:pPr>
      <w:r>
        <w:drawing>
          <wp:inline xmlns:a="http://schemas.openxmlformats.org/drawingml/2006/main" xmlns:pic="http://schemas.openxmlformats.org/drawingml/2006/picture">
            <wp:extent cx="5760000" cy="3443845"/>
            <wp:docPr id="14" name="Picture 14"/>
            <wp:cNvGraphicFramePr>
              <a:graphicFrameLocks noChangeAspect="1"/>
            </wp:cNvGraphicFramePr>
            <a:graphic>
              <a:graphicData uri="http://schemas.openxmlformats.org/drawingml/2006/picture">
                <pic:pic>
                  <pic:nvPicPr>
                    <pic:cNvPr id="0" name="Schermafbeelding 2026-09-10 101325.png"/>
                    <pic:cNvPicPr/>
                  </pic:nvPicPr>
                  <pic:blipFill>
                    <a:blip r:embed="rId23"/>
                    <a:stretch>
                      <a:fillRect/>
                    </a:stretch>
                  </pic:blipFill>
                  <pic:spPr>
                    <a:xfrm>
                      <a:off x="0" y="0"/>
                      <a:ext cx="5760000" cy="3443845"/>
                    </a:xfrm>
                    <a:prstGeom prst="rect"/>
                  </pic:spPr>
                </pic:pic>
              </a:graphicData>
            </a:graphic>
          </wp:inline>
        </w:drawing>
      </w:r>
    </w:p>
    <w:p>
      <w:pPr>
        <w:ind w:left="397" w:hanging="397"/>
      </w:pPr>
      <w:r>
        <w:rPr>
          <w:b/>
        </w:rPr>
        <w:t xml:space="preserve">23. </w:t>
      </w:r>
      <w:r>
        <w:t>Ga naar ‘Measure’. Beide toestellen tonen ‘Ready’ en ‘Not zeroed’.</w:t>
      </w:r>
    </w:p>
    <w:p>
      <w:pPr>
        <w:ind w:left="397" w:hanging="397"/>
      </w:pPr>
      <w:r>
        <w:rPr>
          <w:b/>
        </w:rPr>
        <w:t xml:space="preserve">24. </w:t>
      </w:r>
      <w:r>
        <w:t>Leg de twee zolen onbelast en vlak op de tafel — nog niet in de schoen, niets erop, en raak ze niet aan. Klik dan per toestel op ‘Zero device’. De melding ‘Not zeroed’ verdwijnt.</w:t>
      </w:r>
    </w:p>
    <w:p>
      <w:pPr>
        <w:ind w:left="340"/>
      </w:pPr>
      <w:r>
        <w:rPr>
          <w:b/>
          <w:i w:val="0"/>
          <w:sz w:val="22"/>
        </w:rPr>
        <w:t>Nulstellen doe je één keer, aan het begin van de sessie. Niet opnieuw tussen de twee condities in: A en B moeten tegen dezelfde nullijn staan.</w:t>
      </w:r>
    </w:p>
    <w:p>
      <w:pPr>
        <w:ind w:left="397" w:hanging="397"/>
      </w:pPr>
      <w:r>
        <w:rPr>
          <w:b/>
        </w:rPr>
        <w:t xml:space="preserve">25. </w:t>
      </w:r>
      <w:r>
        <w:t>Zet ‘Sample rate’ op 100 Hz. De frequentierespons van de zool is opgegeven tot 100 Hz; gebruik voor elke deelnemer en elke visite dezelfde waarde.</w:t>
      </w:r>
    </w:p>
    <w:p>
      <w:pPr>
        <w:ind w:left="397" w:hanging="397"/>
      </w:pPr>
      <w:r>
        <w:rPr>
          <w:b/>
        </w:rPr>
        <w:t xml:space="preserve">26. </w:t>
      </w:r>
      <w:r>
        <w:t>Controleer bij ‘Select Active Cells’ dat er 99 staan. Dat is het aantal sensoren van een volwassen pedar-zool; staat er minder, dan zijn er cellen uitgeschakeld en klopt het beeld niet.</w:t>
      </w:r>
    </w:p>
    <w:p>
      <w:pPr>
        <w:keepNext/>
        <w:spacing w:before="200" w:after="80"/>
      </w:pPr>
      <w:r>
        <w:rPr>
          <w:b/>
          <w:color w:val="123A5F"/>
          <w:sz w:val="24"/>
        </w:rPr>
        <w:t>9. De zolen in de schoen — let op de volgorde</w:t>
      </w:r>
    </w:p>
    <w:p>
      <w:r>
        <w:rPr>
          <w:b/>
          <w:i w:val="0"/>
          <w:sz w:val="22"/>
        </w:rPr>
        <w:t>De pedar-zool meet de druk óp de voet en ligt dus tussen de voet en de orthese, niet eronder. Leg je ze onder de CMFO, dan meet je tussen orthese en schoen en zie je van het ontlastende effect niets terug.</w:t>
      </w:r>
    </w:p>
    <w:p>
      <w:pPr>
        <w:keepNext/>
        <w:keepLines/>
      </w:pPr>
      <w:r>
        <w:rPr>
          <w:b/>
          <w:i w:val="0"/>
          <w:sz w:val="22"/>
        </w:rPr>
        <w:t>Van onder naar boven in de schoen:</w:t>
      </w:r>
    </w:p>
    <w:p>
      <w:pPr>
        <w:pStyle w:val="ListBullet"/>
        <w:keepNext/>
        <w:keepLines/>
        <w:ind w:left="397"/>
      </w:pPr>
      <w:r>
        <w:t>de schoen, met wat er normaal in zit</w:t>
      </w:r>
    </w:p>
    <w:p>
      <w:pPr>
        <w:pStyle w:val="ListBullet"/>
        <w:keepNext/>
        <w:keepLines/>
        <w:ind w:left="397"/>
      </w:pPr>
      <w:r>
        <w:t>de CMFO — alleen bij conditie B</w:t>
      </w:r>
    </w:p>
    <w:p>
      <w:pPr>
        <w:pStyle w:val="ListBullet"/>
        <w:keepNext/>
        <w:keepLines/>
        <w:ind w:left="397"/>
      </w:pPr>
      <w:r>
        <w:t>de pedar-zool</w:t>
      </w:r>
    </w:p>
    <w:p>
      <w:pPr>
        <w:pStyle w:val="ListBullet"/>
        <w:keepLines/>
        <w:ind w:left="397"/>
      </w:pPr>
      <w:r>
        <w:t>de sok en de voet</w:t>
      </w:r>
    </w:p>
    <w:p>
      <w:r>
        <w:rPr>
          <w:b w:val="0"/>
          <w:i w:val="0"/>
          <w:sz w:val="22"/>
        </w:rPr>
      </w:r>
    </w:p>
    <w:p>
      <w:pPr>
        <w:ind w:left="397" w:hanging="397"/>
      </w:pPr>
      <w:r>
        <w:rPr>
          <w:b/>
        </w:rPr>
        <w:t xml:space="preserve">27. </w:t>
      </w:r>
      <w:r>
        <w:t>Leg de pedar-zool vlak in de schoen, bovenop wat er al in ligt, zonder plooien. Voor conditie B ligt ze dus bovenop de CMFO.</w:t>
      </w:r>
    </w:p>
    <w:p>
      <w:pPr>
        <w:ind w:left="397" w:hanging="397"/>
      </w:pPr>
      <w:r>
        <w:rPr>
          <w:b/>
        </w:rPr>
        <w:t xml:space="preserve">28. </w:t>
      </w:r>
      <w:r>
        <w:t>Leid de kabel langs de binnenkant van de schoen naar buiten, zonder dat hij geklemd raakt, en zet de zender met de klittenband vast op het onderbeen of de enkel.</w:t>
      </w:r>
    </w:p>
    <w:p>
      <w:pPr>
        <w:ind w:left="397" w:hanging="397"/>
      </w:pPr>
      <w:r>
        <w:rPr>
          <w:b/>
        </w:rPr>
        <w:t xml:space="preserve">29. </w:t>
      </w:r>
      <w:r>
        <w:t>Laat de deelnemer dunne, naadloze katoenen sokken aandoen — voor elke deelnemer hetzelfde type — en de schoenen aantrekken.</w:t>
      </w:r>
    </w:p>
    <w:p>
      <w:pPr>
        <w:keepNext/>
        <w:spacing w:before="200" w:after="80"/>
      </w:pPr>
      <w:r>
        <w:rPr>
          <w:b/>
          <w:color w:val="123A5F"/>
          <w:sz w:val="24"/>
        </w:rPr>
        <w:t>10. De meting</w:t>
      </w:r>
    </w:p>
    <w:p>
      <w:r>
        <w:rPr>
          <w:b/>
          <w:i w:val="0"/>
          <w:sz w:val="22"/>
        </w:rPr>
        <w:t>Vanaf visite 2 wordt gemeten in het binnenschoeisel — één paar, geen tweede. Op visite 1 is er nog geen studieschoeisel: dan meet je in de schoenen waarmee de deelnemer binnenkomt.</w:t>
      </w:r>
    </w:p>
    <w:p>
      <w:r>
        <w:rPr>
          <w:b w:val="0"/>
          <w:i w:val="0"/>
          <w:sz w:val="22"/>
        </w:rPr>
      </w:r>
    </w:p>
    <w:p>
      <w:r>
        <w:rPr>
          <w:b/>
          <w:i w:val="0"/>
          <w:sz w:val="22"/>
        </w:rPr>
        <w:t>Twee condities, in deze volgorde:</w:t>
      </w:r>
    </w:p>
    <w:p>
      <w:pPr>
        <w:pStyle w:val="ListBullet"/>
        <w:ind w:left="397"/>
      </w:pPr>
      <w:r>
        <w:t>A — in het schoeisel ZONDER de CMFO. De schoen bevat dan wat er normaal in zit, met de pedar-zool erbovenop.</w:t>
      </w:r>
    </w:p>
    <w:p>
      <w:pPr>
        <w:pStyle w:val="ListBullet"/>
        <w:ind w:left="397"/>
      </w:pPr>
      <w:r>
        <w:t>B — in het schoeisel MET de CMFO, met de pedar-zool bovenop de CMFO.</w:t>
      </w:r>
    </w:p>
    <w:p>
      <w:r>
        <w:rPr>
          <w:b w:val="0"/>
          <w:i/>
          <w:sz w:val="22"/>
        </w:rPr>
        <w:t>De 25%-reductie wordt tussen A en B gerekend, in dezelfde sessie.</w:t>
      </w:r>
    </w:p>
    <w:p>
      <w:r>
        <w:rPr>
          <w:b w:val="0"/>
          <w:i/>
          <w:sz w:val="22"/>
        </w:rPr>
        <w:t>Op visite 1 is er nog geen zool: alleen conditie A, drie keer na elkaar, als informatie voor de pedorthist. Links en rechts worden tegelijk opgenomen en per voet apart uitgelezen. Sla stap 36 over — er is niets om aan te toetsen.</w:t>
      </w:r>
    </w:p>
    <w:p>
      <w:r>
        <w:rPr>
          <w:b w:val="0"/>
          <w:i w:val="0"/>
          <w:sz w:val="22"/>
        </w:rPr>
      </w:r>
    </w:p>
    <w:p>
      <w:pPr>
        <w:ind w:left="397" w:hanging="397"/>
      </w:pPr>
      <w:r>
        <w:rPr>
          <w:b/>
        </w:rPr>
        <w:t xml:space="preserve">30. </w:t>
      </w:r>
      <w:r>
        <w:t>Ga terug naar de database, naar het tabblad pedar Files van dit bezoek, en klik op ‘Measure’. Het meetprogramma opent met deze deelnemer en dit bezoek al gekoppeld.</w:t>
      </w:r>
    </w:p>
    <w:p>
      <w:pPr>
        <w:ind w:left="340"/>
      </w:pPr>
      <w:r>
        <w:rPr>
          <w:b/>
          <w:i w:val="0"/>
          <w:sz w:val="22"/>
        </w:rPr>
        <w:t>Start je toch rechtstreeks in novel studio, dan komt het bestand los te staan en moet het achteraf opgezocht en aan het juiste bezoek gehangen worden. Doe dat niet.</w:t>
      </w:r>
    </w:p>
    <w:p>
      <w:pPr>
        <w:ind w:left="397" w:hanging="397"/>
      </w:pPr>
      <w:r>
        <w:rPr>
          <w:b/>
        </w:rPr>
        <w:t xml:space="preserve">31. </w:t>
      </w:r>
      <w:r>
        <w:t>Vul bij ‘Measurement identification’ de conditie in: A zonder zool of B met zool. Deelnemerscode en visite komen uit de database.</w:t>
      </w:r>
    </w:p>
    <w:p>
      <w:pPr>
        <w:ind w:left="397" w:hanging="397"/>
      </w:pPr>
      <w:r>
        <w:rPr>
          <w:b/>
        </w:rPr>
        <w:t xml:space="preserve">32. </w:t>
      </w:r>
      <w:r>
        <w:t>Laat de deelnemer een paar meter wennen, buiten de meting.</w:t>
      </w:r>
    </w:p>
    <w:p>
      <w:pPr>
        <w:ind w:left="397" w:hanging="397"/>
      </w:pPr>
      <w:r>
        <w:rPr>
          <w:b/>
        </w:rPr>
        <w:t xml:space="preserve">33. </w:t>
      </w:r>
      <w:r>
        <w:t>Klik op ‘Start measurement’ en laat de deelnemer de looproute afleggen op zelfgekozen comfortsnelheid.</w:t>
      </w:r>
    </w:p>
    <w:p>
      <w:pPr>
        <w:ind w:left="397" w:hanging="397"/>
      </w:pPr>
      <w:r>
        <w:rPr>
          <w:b/>
        </w:rPr>
        <w:t xml:space="preserve">34. </w:t>
      </w:r>
      <w:r>
        <w:t>Verzamel minstens 12 bruikbare mid-gait stappen per voet. Eén doorgang levert er een handvol, dus reken op twee tot drie doorgangen. De eerste en de laatste stappen van elke doorgang tellen niet mee — die zijn versnellend of afremmend.</w:t>
      </w:r>
    </w:p>
    <w:p>
      <w:pPr>
        <w:ind w:left="397" w:hanging="397"/>
      </w:pPr>
      <w:r>
        <w:rPr>
          <w:b/>
        </w:rPr>
        <w:t xml:space="preserve">35. </w:t>
      </w:r>
      <w:r>
        <w:t>Klik op ‘Stop’.</w:t>
      </w:r>
    </w:p>
    <w:p>
      <w:pPr>
        <w:ind w:left="397" w:hanging="397"/>
      </w:pPr>
      <w:r>
        <w:rPr>
          <w:b/>
        </w:rPr>
        <w:t xml:space="preserve">36. </w:t>
      </w:r>
      <w:r>
        <w:t>Voor conditie B: schoenen uit, CMFO in de schoen, pedar-zool daar bovenop, en herhaal stap 28 tot 35. Niet opnieuw nulstellen. Houd de snelheid gelijk — bij opvolging maximaal 5% afwijking van de baseline.</w:t>
      </w:r>
    </w:p>
    <w:p>
      <w:pPr>
        <w:keepNext/>
        <w:spacing w:before="200" w:after="80"/>
      </w:pPr>
      <w:r>
        <w:rPr>
          <w:b/>
          <w:color w:val="123A5F"/>
          <w:sz w:val="24"/>
        </w:rPr>
        <w:t>11. De meting bekijken en de piekdruk aflezen</w:t>
      </w:r>
    </w:p>
    <w:p>
      <w:pPr>
        <w:ind w:left="397" w:hanging="397"/>
      </w:pPr>
      <w:r>
        <w:rPr>
          <w:b/>
        </w:rPr>
        <w:t xml:space="preserve">37. </w:t>
      </w:r>
      <w:r>
        <w:t>Ga naar ‘Archive &amp; Analyse’ en open het bestand van deze meting. Het staat onder C:\Users\Public\Documents\Novel Studio\plidar_data\&lt;datum&gt;, met een naam als pedar_2026-09-10_09-23-18-577.plidar.</w:t>
      </w:r>
    </w:p>
    <w:p>
      <w:pPr>
        <w:keepNext/>
        <w:spacing w:before="160"/>
      </w:pPr>
      <w:r>
        <w:rPr>
          <w:b/>
          <w:color w:val="123A5F"/>
          <w:sz w:val="20"/>
        </w:rPr>
        <w:t>Figuur 15: Chart controls — het meetvenster afbakenen</w:t>
      </w:r>
    </w:p>
    <w:p>
      <w:pPr>
        <w:spacing w:after="160"/>
        <w:jc w:val="center"/>
      </w:pPr>
      <w:r>
        <w:drawing>
          <wp:inline xmlns:a="http://schemas.openxmlformats.org/drawingml/2006/main" xmlns:pic="http://schemas.openxmlformats.org/drawingml/2006/picture">
            <wp:extent cx="5760000" cy="3339490"/>
            <wp:docPr id="15" name="Picture 15"/>
            <wp:cNvGraphicFramePr>
              <a:graphicFrameLocks noChangeAspect="1"/>
            </wp:cNvGraphicFramePr>
            <a:graphic>
              <a:graphicData uri="http://schemas.openxmlformats.org/drawingml/2006/picture">
                <pic:pic>
                  <pic:nvPicPr>
                    <pic:cNvPr id="0" name="Schermafbeelding 2026-09-10 100125.png"/>
                    <pic:cNvPicPr/>
                  </pic:nvPicPr>
                  <pic:blipFill>
                    <a:blip r:embed="rId24"/>
                    <a:stretch>
                      <a:fillRect/>
                    </a:stretch>
                  </pic:blipFill>
                  <pic:spPr>
                    <a:xfrm>
                      <a:off x="0" y="0"/>
                      <a:ext cx="5760000" cy="3339490"/>
                    </a:xfrm>
                    <a:prstGeom prst="rect"/>
                  </pic:spPr>
                </pic:pic>
              </a:graphicData>
            </a:graphic>
          </wp:inline>
        </w:drawing>
      </w:r>
    </w:p>
    <w:p>
      <w:pPr>
        <w:ind w:left="397" w:hanging="397"/>
      </w:pPr>
      <w:r>
        <w:rPr>
          <w:b/>
        </w:rPr>
        <w:t xml:space="preserve">38. </w:t>
      </w:r>
      <w:r>
        <w:t>Open ‘Chart controls’ om de grafiek af te bakenen: ‘Set Range’ zet begin en eind, en je kunt het venster ook verschuiven. ‘Fit All Data’ zet de weergave terug op de volledige meting.</w:t>
      </w:r>
    </w:p>
    <w:p>
      <w:pPr>
        <w:ind w:left="340"/>
      </w:pPr>
      <w:r>
        <w:rPr>
          <w:b/>
          <w:i w:val="0"/>
          <w:sz w:val="22"/>
        </w:rPr>
        <w:t>Let op: dit verandert alleen wat je ziet. De getallen onderaan blijven over de hele opname gerekend — Set Range knipt geen data weg.</w:t>
      </w:r>
    </w:p>
    <w:p>
      <w:pPr>
        <w:keepNext/>
        <w:spacing w:before="160"/>
      </w:pPr>
      <w:r>
        <w:rPr>
          <w:b/>
          <w:color w:val="123A5F"/>
          <w:sz w:val="20"/>
        </w:rPr>
        <w:t>Figuur 16: MVP O — de gemiddelde drukverdeling; let op de veel lagere waarden</w:t>
      </w:r>
    </w:p>
    <w:p>
      <w:pPr>
        <w:spacing w:after="160"/>
        <w:jc w:val="center"/>
      </w:pPr>
      <w:r>
        <w:drawing>
          <wp:inline xmlns:a="http://schemas.openxmlformats.org/drawingml/2006/main" xmlns:pic="http://schemas.openxmlformats.org/drawingml/2006/picture">
            <wp:extent cx="5760000" cy="3343059"/>
            <wp:docPr id="16" name="Picture 16"/>
            <wp:cNvGraphicFramePr>
              <a:graphicFrameLocks noChangeAspect="1"/>
            </wp:cNvGraphicFramePr>
            <a:graphic>
              <a:graphicData uri="http://schemas.openxmlformats.org/drawingml/2006/picture">
                <pic:pic>
                  <pic:nvPicPr>
                    <pic:cNvPr id="0" name="Schermafbeelding 2026-09-10 095945.png"/>
                    <pic:cNvPicPr/>
                  </pic:nvPicPr>
                  <pic:blipFill>
                    <a:blip r:embed="rId25"/>
                    <a:stretch>
                      <a:fillRect/>
                    </a:stretch>
                  </pic:blipFill>
                  <pic:spPr>
                    <a:xfrm>
                      <a:off x="0" y="0"/>
                      <a:ext cx="5760000" cy="3343059"/>
                    </a:xfrm>
                    <a:prstGeom prst="rect"/>
                  </pic:spPr>
                </pic:pic>
              </a:graphicData>
            </a:graphic>
          </wp:inline>
        </w:drawing>
      </w:r>
    </w:p>
    <w:p>
      <w:pPr>
        <w:keepNext/>
        <w:spacing w:before="160"/>
      </w:pPr>
      <w:r>
        <w:rPr>
          <w:b/>
          <w:color w:val="123A5F"/>
          <w:sz w:val="20"/>
        </w:rPr>
        <w:t>Figuur 17: MPP — de hoogste druk per sensor; dit is de weergave voor de norm</w:t>
      </w:r>
    </w:p>
    <w:p>
      <w:pPr>
        <w:spacing w:after="160"/>
        <w:jc w:val="center"/>
      </w:pPr>
      <w:r>
        <w:drawing>
          <wp:inline xmlns:a="http://schemas.openxmlformats.org/drawingml/2006/main" xmlns:pic="http://schemas.openxmlformats.org/drawingml/2006/picture">
            <wp:extent cx="5760000" cy="3351314"/>
            <wp:docPr id="17" name="Picture 17"/>
            <wp:cNvGraphicFramePr>
              <a:graphicFrameLocks noChangeAspect="1"/>
            </wp:cNvGraphicFramePr>
            <a:graphic>
              <a:graphicData uri="http://schemas.openxmlformats.org/drawingml/2006/picture">
                <pic:pic>
                  <pic:nvPicPr>
                    <pic:cNvPr id="0" name="Schermafbeelding 2026-09-10 100159.png"/>
                    <pic:cNvPicPr/>
                  </pic:nvPicPr>
                  <pic:blipFill>
                    <a:blip r:embed="rId26"/>
                    <a:stretch>
                      <a:fillRect/>
                    </a:stretch>
                  </pic:blipFill>
                  <pic:spPr>
                    <a:xfrm>
                      <a:off x="0" y="0"/>
                      <a:ext cx="5760000" cy="3351314"/>
                    </a:xfrm>
                    <a:prstGeom prst="rect"/>
                  </pic:spPr>
                </pic:pic>
              </a:graphicData>
            </a:graphic>
          </wp:inline>
        </w:drawing>
      </w:r>
    </w:p>
    <w:p>
      <w:pPr>
        <w:ind w:left="397" w:hanging="397"/>
      </w:pPr>
      <w:r>
        <w:rPr>
          <w:b/>
        </w:rPr>
        <w:t xml:space="preserve">39. </w:t>
      </w:r>
      <w:r>
        <w:t>Klik links op ‘MPP’. Deze weergave toont per sensor de hoogste druk tijdens de meting. Daarop wordt de norm getoetst — niet op de MVP-weergave, die gemiddelden toont en dus lagere waarden geeft.</w:t>
      </w:r>
    </w:p>
    <w:p>
      <w:pPr>
        <w:ind w:left="397" w:hanging="397"/>
      </w:pPr>
      <w:r>
        <w:rPr>
          <w:b/>
        </w:rPr>
        <w:t xml:space="preserve">40. </w:t>
      </w:r>
      <w:r>
        <w:t>Lees onderaan per voet af: Maximum force, Peak pressure, Average pressure en Loaded area. Noteer ze in blok 3 van het blad ‘Meting’.</w:t>
      </w:r>
    </w:p>
    <w:p>
      <w:pPr>
        <w:ind w:left="397" w:hanging="397"/>
      </w:pPr>
      <w:r>
        <w:rPr>
          <w:b/>
        </w:rPr>
        <w:t xml:space="preserve">41. </w:t>
      </w:r>
      <w:r>
        <w:t>Noteer in blok 4 van het blad ‘Meting’ de drie hoogste piekdrukwaarden en waar ze liggen. Alles met de topkleur ligt op of boven 200 kPa. Gebruik de regio-indeling van het protocol: hiel, mediale middenvoet, laterale middenvoet, metatarsaal 1, metatarsaal 2-3, metatarsaal 4-5, hallux, tenen 2-5.</w:t>
      </w:r>
    </w:p>
    <w:p>
      <w:pPr>
        <w:ind w:left="397" w:hanging="397"/>
      </w:pPr>
      <w:r>
        <w:rPr>
          <w:b/>
        </w:rPr>
        <w:t xml:space="preserve">42. </w:t>
      </w:r>
      <w:r>
        <w:t>Maak met Windows + Shift + S een schermafbeelding van het MPP-beeld, met de kleurenschaal erbij, en plak die met Ctrl + V in blok 6 van het blad ‘Meting’, in het vak van de juiste conditie.</w:t>
      </w:r>
    </w:p>
    <w:p>
      <w:r>
        <w:rPr>
          <w:b/>
          <w:i w:val="0"/>
          <w:sz w:val="22"/>
        </w:rPr>
        <w:t>De norm: piekdruk onder 200 kPa mét de zool, óf minstens 25% lager dan dezelfde regio zonder de zool in dezelfde sessie. Gehaald op alle drie de doelregio’s? Dan is de zool in orde. Zo niet: laat de pedorthist aanpassen en meet opnieuw.</w:t>
      </w:r>
    </w:p>
    <w:p>
      <w:r>
        <w:rPr>
          <w:b/>
          <w:i w:val="0"/>
          <w:sz w:val="22"/>
        </w:rPr>
        <w:t>Verwar ze niet: stap 36 vraagt wat je in dít beeld ziet, de doelregio’s zijn wat ontlast moet worden. De regio met de vorige voetzweer telt altijd mee, ook als ze niet bij de hoogste drie zit.</w:t>
      </w:r>
    </w:p>
    <w:p>
      <w:r>
        <w:rPr>
          <w:b w:val="0"/>
          <w:i/>
          <w:sz w:val="22"/>
        </w:rPr>
        <w:t>Ze worden op eCRF 24 aangeduid, boven de meettabellen: de regio met de vorige voetzweer (eCRF 06), plus per voet de twee plaatsen in vóórvoet of middenvoet boven 200 kPa. De hiel telt niet mee. Duid ze aan vóór je conditie B meet.</w:t>
      </w:r>
    </w:p>
    <w:p>
      <w:r>
        <w:rPr>
          <w:b/>
          <w:i w:val="0"/>
          <w:sz w:val="22"/>
        </w:rPr>
        <w:t>Op maand 6, 12 en 18 kies je ze niet opnieuw maar neem je ze over van het vorige formulier. Heb je dat niet bij de hand, vraag het op vóór de meting.</w:t>
      </w:r>
    </w:p>
    <w:p>
      <w:r>
        <w:rPr>
          <w:b w:val="0"/>
          <w:i/>
          <w:sz w:val="22"/>
        </w:rPr>
        <w:t>Laat de zool ook aanpassen als de piekdruk op een doelregio met 5% of meer gestegen is tegenover de vorige keer, ook al ligt ze onder de norm.</w:t>
      </w:r>
    </w:p>
    <w:p>
      <w:r>
        <w:rPr>
          <w:b w:val="0"/>
          <w:i/>
          <w:sz w:val="22"/>
        </w:rPr>
        <w:t>Dit is een tussenoplossing, tot de segmentatie er is.</w:t>
      </w:r>
    </w:p>
    <w:p>
      <w:pPr>
        <w:keepNext/>
        <w:spacing w:before="200" w:after="80"/>
      </w:pPr>
      <w:r>
        <w:rPr>
          <w:b/>
          <w:color w:val="123A5F"/>
          <w:sz w:val="24"/>
        </w:rPr>
        <w:t>12. Wachten, stilstaan of een misstap — wat telt er mee?</w:t>
      </w:r>
    </w:p>
    <w:p>
      <w:r>
        <w:rPr>
          <w:b w:val="0"/>
          <w:i w:val="0"/>
          <w:sz w:val="22"/>
        </w:rPr>
        <w:t>Als de deelnemer halverwege blijft staan of aarzelt, komen die frames mee in het bestand. Voor de norm maakt dat niets uit, maar voor de gemiddelden wel.</w:t>
      </w:r>
    </w:p>
    <w:p>
      <w:pPr>
        <w:pStyle w:val="ListBullet"/>
        <w:ind w:left="397"/>
      </w:pPr>
      <w:r>
        <w:t>De piekdruk (MPP) neemt per sensor de hoogste waarde over de meting. Frames met weinig of geen druk verhogen die niet, dus een pauze verandert de toetsing aan de norm niet.</w:t>
      </w:r>
    </w:p>
    <w:p>
      <w:pPr>
        <w:pStyle w:val="ListBullet"/>
        <w:ind w:left="397"/>
      </w:pPr>
      <w:r>
        <w:t>De gemiddelden (MVP) zijn er wél gevoelig voor. Novel studio biedt daarom drie MVP-weergaven, en het verschil zit precies hierin:</w:t>
      </w:r>
    </w:p>
    <w:p>
      <w:pPr>
        <w:pStyle w:val="ListBullet"/>
        <w:ind w:left="680"/>
      </w:pPr>
      <w:r>
        <w:t>MVP O — over álle frames, ook die zonder enige druk. Dit geeft de laagste waarden, en een pauze drukt ze verder omlaag.</w:t>
      </w:r>
    </w:p>
    <w:p>
      <w:pPr>
        <w:pStyle w:val="ListBullet"/>
        <w:ind w:left="680"/>
      </w:pPr>
      <w:r>
        <w:t>MVP LC — alleen over geladen frames én geladen sensoren; nulwaarden tellen helemaal niet mee.</w:t>
      </w:r>
    </w:p>
    <w:p>
      <w:pPr>
        <w:pStyle w:val="ListBullet"/>
        <w:ind w:left="680"/>
      </w:pPr>
      <w:r>
        <w:t>MVP LF — alleen over geladen frames: frames waarin minstens één sensor druk registreerde. Staat de voet in de lucht, dan telt dat frame niet mee.</w:t>
      </w:r>
    </w:p>
    <w:p>
      <w:pPr>
        <w:ind w:left="340"/>
      </w:pPr>
      <w:r>
        <w:rPr>
          <w:b w:val="0"/>
          <w:i/>
          <w:sz w:val="22"/>
        </w:rPr>
        <w:t>De drie staan in die volgorde als tabbladen links in Archive &amp; Analyse, onder MPP.</w:t>
      </w:r>
    </w:p>
    <w:p>
      <w:r>
        <w:rPr>
          <w:b w:val="0"/>
          <w:i w:val="0"/>
          <w:sz w:val="22"/>
        </w:rPr>
        <w:t>Blijft de deelnemer stílstaan met gewicht op de voet, dan zijn die frames wél geladen en vallen ze ook in MVP LF en LC.</w:t>
      </w:r>
    </w:p>
    <w:p>
      <w:r>
        <w:rPr>
          <w:b/>
          <w:i w:val="0"/>
          <w:sz w:val="22"/>
        </w:rPr>
        <w:t>Aan de stoel kun je daar niets aan doen. ‘Set Range’ past alleen de grafiek aan — begin, eind en verschuiven — en rekent niets opnieuw; de getallen blijven over de hele opname gaan. Er is in novel studio geen manier om frames weg te laten.</w:t>
      </w:r>
    </w:p>
    <w:p>
      <w:r>
        <w:rPr>
          <w:b w:val="0"/>
          <w:i w:val="0"/>
          <w:sz w:val="22"/>
        </w:rPr>
        <w:t>Dat hoeft ook niet. Meet door en noteer dat de deelnemer is blijven staan. De norm gaat op MPP; voor de gemiddelden knipt ‘file master’ die frames er achteraf uit — zie hoofdstuk 14.</w:t>
      </w:r>
    </w:p>
    <w:p>
      <w:r>
        <w:rPr>
          <w:b w:val="0"/>
          <w:i w:val="0"/>
          <w:sz w:val="22"/>
        </w:rPr>
        <w:t>Herhaal de doorgang alleen als de deelnemer zó lang stilstond dat er te weinig stappen overblijven.</w:t>
      </w:r>
    </w:p>
    <w:p>
      <w:pPr>
        <w:keepNext/>
        <w:spacing w:before="200" w:after="80"/>
      </w:pPr>
      <w:r>
        <w:rPr>
          <w:b/>
          <w:color w:val="123A5F"/>
          <w:sz w:val="24"/>
        </w:rPr>
        <w:t>13. Opslaan en afronden</w:t>
      </w:r>
    </w:p>
    <w:p>
      <w:r>
        <w:rPr>
          <w:b/>
          <w:i w:val="0"/>
          <w:sz w:val="22"/>
        </w:rPr>
        <w:t>Alles wat je noteert gaat op één blad: ‘Meting’ in de Pressure Monitoring Tool. De blokken staan in de volgorde van de meting.</w:t>
      </w:r>
    </w:p>
    <w:tbl>
      <w:tblPr>
        <w:tblStyle w:val="TableGrid"/>
        <w:tblW w:type="auto" w:w="0"/>
        <w:jc w:val="left"/>
        <w:tblLook w:firstColumn="1" w:firstRow="1" w:lastColumn="0" w:lastRow="0" w:noHBand="0" w:noVBand="1" w:val="04A0"/>
      </w:tblPr>
      <w:tblGrid>
        <w:gridCol w:w="4513"/>
        <w:gridCol w:w="4513"/>
      </w:tblGrid>
      <w:tr>
        <w:tc>
          <w:tcPr>
            <w:tcW w:type="dxa" w:w="1247"/>
          </w:tcPr>
          <w:p>
            <w:r/>
            <w:r>
              <w:rPr>
                <w:b/>
                <w:color w:val="123A5F"/>
                <w:sz w:val="20"/>
              </w:rPr>
              <w:t>Blok</w:t>
            </w:r>
          </w:p>
        </w:tc>
        <w:tc>
          <w:tcPr>
            <w:tcW w:type="dxa" w:w="7540"/>
          </w:tcPr>
          <w:p>
            <w:r/>
            <w:r>
              <w:rPr>
                <w:b/>
                <w:color w:val="123A5F"/>
                <w:sz w:val="20"/>
              </w:rPr>
              <w:t>Wat erin komt</w:t>
            </w:r>
          </w:p>
        </w:tc>
      </w:tr>
      <w:tr>
        <w:tc>
          <w:tcPr>
            <w:tcW w:type="dxa" w:w="1247"/>
          </w:tcPr>
          <w:p>
            <w:r/>
            <w:r>
              <w:rPr>
                <w:sz w:val="20"/>
              </w:rPr>
              <w:t>1 en 2</w:t>
            </w:r>
          </w:p>
        </w:tc>
        <w:tc>
          <w:tcPr>
            <w:tcW w:type="dxa" w:w="7540"/>
          </w:tcPr>
          <w:p>
            <w:r/>
            <w:r>
              <w:rPr>
                <w:sz w:val="20"/>
              </w:rPr>
              <w:t>Deelnemer, visite, datum, zoolcodes, batterij en configuratiebestand</w:t>
            </w:r>
          </w:p>
        </w:tc>
      </w:tr>
      <w:tr>
        <w:tc>
          <w:tcPr>
            <w:tcW w:type="dxa" w:w="1247"/>
          </w:tcPr>
          <w:p>
            <w:r/>
            <w:r>
              <w:rPr>
                <w:sz w:val="20"/>
              </w:rPr>
              <w:t>3</w:t>
            </w:r>
          </w:p>
        </w:tc>
        <w:tc>
          <w:tcPr>
            <w:tcW w:type="dxa" w:w="7540"/>
          </w:tcPr>
          <w:p>
            <w:r/>
            <w:r>
              <w:rPr>
                <w:sz w:val="20"/>
              </w:rPr>
              <w:t>De vier waarden per voet, voor conditie A en B</w:t>
            </w:r>
          </w:p>
        </w:tc>
      </w:tr>
      <w:tr>
        <w:tc>
          <w:tcPr>
            <w:tcW w:type="dxa" w:w="1247"/>
          </w:tcPr>
          <w:p>
            <w:r/>
            <w:r>
              <w:rPr>
                <w:sz w:val="20"/>
              </w:rPr>
              <w:t>4</w:t>
            </w:r>
          </w:p>
        </w:tc>
        <w:tc>
          <w:tcPr>
            <w:tcW w:type="dxa" w:w="7540"/>
          </w:tcPr>
          <w:p>
            <w:r/>
            <w:r>
              <w:rPr>
                <w:sz w:val="20"/>
              </w:rPr>
              <w:t>De drie hoogste piekdrukken per voet, met hun plaats — de kolommen ‘% verschil’ en ‘Norm gehaald?’ rekenen zelf</w:t>
            </w:r>
          </w:p>
        </w:tc>
      </w:tr>
      <w:tr>
        <w:tc>
          <w:tcPr>
            <w:tcW w:type="dxa" w:w="1247"/>
          </w:tcPr>
          <w:p>
            <w:r/>
            <w:r>
              <w:rPr>
                <w:sz w:val="20"/>
              </w:rPr>
              <w:t>5</w:t>
            </w:r>
          </w:p>
        </w:tc>
        <w:tc>
          <w:tcPr>
            <w:tcW w:type="dxa" w:w="7540"/>
          </w:tcPr>
          <w:p>
            <w:r/>
            <w:r>
              <w:rPr>
                <w:sz w:val="20"/>
              </w:rPr>
              <w:t>De drie doelregio’s, en of de druk sinds de vorige keer met 5% of meer gestegen is</w:t>
            </w:r>
          </w:p>
        </w:tc>
      </w:tr>
      <w:tr>
        <w:tc>
          <w:tcPr>
            <w:tcW w:type="dxa" w:w="1247"/>
          </w:tcPr>
          <w:p>
            <w:r/>
            <w:r>
              <w:rPr>
                <w:sz w:val="20"/>
              </w:rPr>
              <w:t>6</w:t>
            </w:r>
          </w:p>
        </w:tc>
        <w:tc>
          <w:tcPr>
            <w:tcW w:type="dxa" w:w="7540"/>
          </w:tcPr>
          <w:p>
            <w:r/>
            <w:r>
              <w:rPr>
                <w:sz w:val="20"/>
              </w:rPr>
              <w:t>De twee schermafbeeldingen</w:t>
            </w:r>
          </w:p>
        </w:tc>
      </w:tr>
      <w:tr>
        <w:tc>
          <w:tcPr>
            <w:tcW w:type="dxa" w:w="1247"/>
          </w:tcPr>
          <w:p>
            <w:r/>
            <w:r>
              <w:rPr>
                <w:sz w:val="20"/>
              </w:rPr>
              <w:t>7</w:t>
            </w:r>
          </w:p>
        </w:tc>
        <w:tc>
          <w:tcPr>
            <w:tcW w:type="dxa" w:w="7540"/>
          </w:tcPr>
          <w:p>
            <w:r/>
            <w:r>
              <w:rPr>
                <w:sz w:val="20"/>
              </w:rPr>
              <w:t>Blijft leeg tot het masker met de acht regio’s er is</w:t>
            </w:r>
          </w:p>
        </w:tc>
      </w:tr>
    </w:tbl>
    <w:p/>
    <w:p>
      <w:pPr>
        <w:ind w:left="397" w:hanging="397"/>
      </w:pPr>
      <w:r>
        <w:rPr>
          <w:b/>
        </w:rPr>
        <w:t xml:space="preserve">43. </w:t>
      </w:r>
      <w:r>
        <w:t>Gebruik ‘Export as’ om de meting te exporteren.</w:t>
      </w:r>
    </w:p>
    <w:p>
      <w:pPr>
        <w:ind w:left="397" w:hanging="397"/>
      </w:pPr>
      <w:r>
        <w:rPr>
          <w:b/>
        </w:rPr>
        <w:t xml:space="preserve">44. </w:t>
      </w:r>
      <w:r>
        <w:t>Noteer de bestandsnaam en de datum op eCRF 09 of 24, samen met de zoolcodes die je gebruikt hebt.</w:t>
      </w:r>
    </w:p>
    <w:p>
      <w:pPr>
        <w:ind w:left="397" w:hanging="397"/>
      </w:pPr>
      <w:r>
        <w:rPr>
          <w:b/>
        </w:rPr>
        <w:t xml:space="preserve">45. </w:t>
      </w:r>
      <w:r>
        <w:t>Controleer dat de schermafbeelding in de Pressure Monitoring Tool staat, bij de juiste deelnemer, het juiste meetmoment en de juiste conditie — zonder of met de zool.</w:t>
      </w:r>
    </w:p>
    <w:p>
      <w:pPr>
        <w:ind w:left="397" w:hanging="397"/>
      </w:pPr>
      <w:r>
        <w:rPr>
          <w:b/>
        </w:rPr>
        <w:t xml:space="preserve">46. </w:t>
      </w:r>
      <w:r>
        <w:t>Sla de Pressure Monitoring Tool op en mail ze naar janou.debuyser@kuleuven.be.</w:t>
      </w:r>
    </w:p>
    <w:p>
      <w:pPr>
        <w:ind w:left="397" w:hanging="397"/>
      </w:pPr>
      <w:r>
        <w:rPr>
          <w:b/>
        </w:rPr>
        <w:t xml:space="preserve">47. </w:t>
      </w:r>
      <w:r>
        <w:t>Laat het bestand op de laptop staan, ook als je het verstuurd hebt. Lukt het mailen niet, dan blijft het bewaard en wordt het bij een volgend studiebezoek opgehaald. Verwijder het nooit zelf.</w:t>
      </w:r>
    </w:p>
    <w:p>
      <w:pPr>
        <w:keepNext/>
        <w:spacing w:before="200" w:after="80"/>
      </w:pPr>
      <w:r>
        <w:rPr>
          <w:b/>
          <w:color w:val="123A5F"/>
          <w:sz w:val="24"/>
        </w:rPr>
        <w:t>14. Wat er daarna met de meting gebeurt</w:t>
      </w:r>
    </w:p>
    <w:p>
      <w:r>
        <w:rPr>
          <w:b w:val="0"/>
          <w:i w:val="0"/>
          <w:sz w:val="22"/>
        </w:rPr>
        <w:t>Novel studio rekent niet per regio. Wat jij op het palet aflas is de klinische beslissing van dat moment; de analyse per regio gebeurt nadien, centraal.</w:t>
      </w:r>
    </w:p>
    <w:p>
      <w:r>
        <w:rPr>
          <w:b/>
          <w:i w:val="0"/>
          <w:sz w:val="22"/>
        </w:rPr>
        <w:t>Dat gebeurt in de novel database, met programma's die op hetzelfde pedar-bestand werken dat jij exporteert:</w:t>
      </w:r>
    </w:p>
    <w:tbl>
      <w:tblPr>
        <w:tblStyle w:val="TableGrid"/>
        <w:tblW w:type="auto" w:w="0"/>
        <w:jc w:val="left"/>
        <w:tblLook w:firstColumn="1" w:firstRow="1" w:lastColumn="0" w:lastRow="0" w:noHBand="0" w:noVBand="1" w:val="04A0"/>
      </w:tblPr>
      <w:tblGrid>
        <w:gridCol w:w="4513"/>
        <w:gridCol w:w="4513"/>
      </w:tblGrid>
      <w:tr>
        <w:tc>
          <w:tcPr>
            <w:tcW w:type="dxa" w:w="2551"/>
          </w:tcPr>
          <w:p>
            <w:r/>
            <w:r>
              <w:rPr>
                <w:b/>
                <w:color w:val="123A5F"/>
                <w:sz w:val="20"/>
              </w:rPr>
              <w:t>Programma</w:t>
            </w:r>
          </w:p>
        </w:tc>
        <w:tc>
          <w:tcPr>
            <w:tcW w:type="dxa" w:w="6236"/>
          </w:tcPr>
          <w:p>
            <w:r/>
            <w:r>
              <w:rPr>
                <w:b/>
                <w:color w:val="123A5F"/>
                <w:sz w:val="20"/>
              </w:rPr>
              <w:t>Wat het met jouw bestand doet</w:t>
            </w:r>
          </w:p>
        </w:tc>
      </w:tr>
      <w:tr>
        <w:tc>
          <w:tcPr>
            <w:tcW w:type="dxa" w:w="2551"/>
          </w:tcPr>
          <w:p>
            <w:r/>
            <w:r>
              <w:rPr>
                <w:sz w:val="20"/>
              </w:rPr>
              <w:t>creation of any and</w:t>
              <w:br/>
              <w:t>percent masks</w:t>
            </w:r>
          </w:p>
        </w:tc>
        <w:tc>
          <w:tcPr>
            <w:tcW w:type="dxa" w:w="6236"/>
          </w:tcPr>
          <w:p>
            <w:r/>
            <w:r>
              <w:rPr>
                <w:sz w:val="20"/>
              </w:rPr>
              <w:t>Tekent de acht regio's van het protocol één keer als masker op de zool</w:t>
            </w:r>
          </w:p>
        </w:tc>
      </w:tr>
      <w:tr>
        <w:tc>
          <w:tcPr>
            <w:tcW w:type="dxa" w:w="2551"/>
          </w:tcPr>
          <w:p>
            <w:r/>
            <w:r>
              <w:rPr>
                <w:sz w:val="20"/>
              </w:rPr>
              <w:t>multimask evaluation</w:t>
            </w:r>
          </w:p>
        </w:tc>
        <w:tc>
          <w:tcPr>
            <w:tcW w:type="dxa" w:w="6236"/>
          </w:tcPr>
          <w:p>
            <w:r/>
            <w:r>
              <w:rPr>
                <w:sz w:val="20"/>
              </w:rPr>
              <w:t>Rekent de piekdruk per regio uit voor één meting</w:t>
            </w:r>
          </w:p>
        </w:tc>
      </w:tr>
      <w:tr>
        <w:tc>
          <w:tcPr>
            <w:tcW w:type="dxa" w:w="2551"/>
          </w:tcPr>
          <w:p>
            <w:r/>
            <w:r>
              <w:rPr>
                <w:sz w:val="20"/>
              </w:rPr>
              <w:t>groupmask evaluation</w:t>
            </w:r>
          </w:p>
        </w:tc>
        <w:tc>
          <w:tcPr>
            <w:tcW w:type="dxa" w:w="6236"/>
          </w:tcPr>
          <w:p>
            <w:r/>
            <w:r>
              <w:rPr>
                <w:sz w:val="20"/>
              </w:rPr>
              <w:t>Doet hetzelfde over alle metingen van de studie tegelijk</w:t>
            </w:r>
          </w:p>
        </w:tc>
      </w:tr>
      <w:tr>
        <w:tc>
          <w:tcPr>
            <w:tcW w:type="dxa" w:w="2551"/>
          </w:tcPr>
          <w:p>
            <w:r/>
            <w:r>
              <w:rPr>
                <w:sz w:val="20"/>
              </w:rPr>
              <w:t>file master</w:t>
            </w:r>
          </w:p>
        </w:tc>
        <w:tc>
          <w:tcPr>
            <w:tcW w:type="dxa" w:w="6236"/>
          </w:tcPr>
          <w:p>
            <w:r/>
            <w:r>
              <w:rPr>
                <w:sz w:val="20"/>
              </w:rPr>
              <w:t>Knipt frames weg tussen twee markers — hiermee gaat een pauze of een misstap er alsnog uit</w:t>
            </w:r>
          </w:p>
        </w:tc>
      </w:tr>
    </w:tbl>
    <w:p/>
    <w:p>
      <w:r>
        <w:rPr>
          <w:b/>
          <w:i w:val="0"/>
          <w:sz w:val="22"/>
        </w:rPr>
        <w:t>Daarom is het exportbestand geen bijzaak: het is de eigenlijke meetdata. De schermafbeelding in de Pressure Monitoring Tool legt jouw beoordeling vast, het bestand legt de meting vast. Beide zijn nodig.</w:t>
      </w:r>
    </w:p>
    <w:p>
      <w:r>
        <w:rPr>
          <w:b w:val="0"/>
          <w:i w:val="0"/>
          <w:sz w:val="22"/>
        </w:rPr>
        <w:t>Bewaar het bestand tot het studieteam bevestigt dat het goed is aangekomen. Verwijder nooit een meting van de laptop op eigen initiatief.</w:t>
      </w:r>
    </w:p>
    <w:p>
      <w:pPr>
        <w:keepNext/>
        <w:spacing w:before="200" w:after="80"/>
      </w:pPr>
      <w:r>
        <w:rPr>
          <w:b/>
          <w:color w:val="123A5F"/>
          <w:sz w:val="24"/>
        </w:rPr>
        <w:t>15. Het systeem afsluiten</w:t>
      </w:r>
    </w:p>
    <w:p>
      <w:r>
        <w:rPr>
          <w:b/>
          <w:i w:val="0"/>
          <w:sz w:val="22"/>
        </w:rPr>
        <w:t>In deze volgorde. Zet je de zenders uit terwijl de software nog verbonden is, dan blijft novel studio op een toestel wachten dat er niet meer is.</w:t>
      </w:r>
    </w:p>
    <w:p>
      <w:pPr>
        <w:ind w:left="397" w:hanging="397"/>
      </w:pPr>
      <w:r>
        <w:rPr>
          <w:b/>
        </w:rPr>
        <w:t xml:space="preserve">48. </w:t>
      </w:r>
      <w:r>
        <w:t>Controleer dat de meting gestopt is: de timer staat stil en de knop ‘Stop’ is niet meer actief.</w:t>
      </w:r>
    </w:p>
    <w:p>
      <w:pPr>
        <w:ind w:left="397" w:hanging="397"/>
      </w:pPr>
      <w:r>
        <w:rPr>
          <w:b/>
        </w:rPr>
        <w:t xml:space="preserve">49. </w:t>
      </w:r>
      <w:r>
        <w:t>Sluit novel studio. Het bestand is al bewaard onder het bezoek waaruit je de meting startte.</w:t>
      </w:r>
    </w:p>
    <w:p>
      <w:pPr>
        <w:ind w:left="397" w:hanging="397"/>
      </w:pPr>
      <w:r>
        <w:rPr>
          <w:b/>
        </w:rPr>
        <w:t xml:space="preserve">50. </w:t>
      </w:r>
      <w:r>
        <w:t>Controleer in de database, in het tabblad pedar Files, dat de meting eronder staat. Sluit dan het bezoek met ‘Close’.</w:t>
      </w:r>
    </w:p>
    <w:p>
      <w:pPr>
        <w:ind w:left="397" w:hanging="397"/>
      </w:pPr>
      <w:r>
        <w:rPr>
          <w:b/>
        </w:rPr>
        <w:t xml:space="preserve">51. </w:t>
      </w:r>
      <w:r>
        <w:t>Ga in novel studio nog even naar ‘Manage Devices’ en verbreek de verbinding met beide toestellen, of sluit het programma zonder meer.</w:t>
      </w:r>
    </w:p>
    <w:p>
      <w:pPr>
        <w:ind w:left="397" w:hanging="397"/>
      </w:pPr>
      <w:r>
        <w:rPr>
          <w:b/>
        </w:rPr>
        <w:t xml:space="preserve">52. </w:t>
      </w:r>
      <w:r>
        <w:t>Zet beide zenders uit met de knop bovenaan, ingedrukt tot de lampjes doven.</w:t>
      </w:r>
    </w:p>
    <w:p>
      <w:pPr>
        <w:ind w:left="397" w:hanging="397"/>
      </w:pPr>
      <w:r>
        <w:rPr>
          <w:b/>
        </w:rPr>
        <w:t xml:space="preserve">53. </w:t>
      </w:r>
      <w:r>
        <w:t>Koppel de zolen los, veeg ze schoon en berg ze vlak op. Nooit vouwen of oprollen.</w:t>
      </w:r>
    </w:p>
    <w:p>
      <w:pPr>
        <w:ind w:left="397" w:hanging="397"/>
      </w:pPr>
      <w:r>
        <w:rPr>
          <w:b/>
        </w:rPr>
        <w:t xml:space="preserve">54. </w:t>
      </w:r>
      <w:r>
        <w:t>Zet de router uit.</w:t>
      </w:r>
    </w:p>
    <w:p>
      <w:pPr>
        <w:ind w:left="397" w:hanging="397"/>
      </w:pPr>
      <w:r>
        <w:rPr>
          <w:b/>
        </w:rPr>
        <w:t xml:space="preserve">55. </w:t>
      </w:r>
      <w:r>
        <w:t>Hang beide zenders aan de lader als de batterij onder de 30% staat.</w:t>
      </w:r>
    </w:p>
    <w:p>
      <w:r>
        <w:rPr>
          <w:b/>
          <w:i w:val="0"/>
          <w:sz w:val="22"/>
        </w:rPr>
        <w:t>Sluit de database pas af als je zeker weet dat de meting eronder staat. Een bestand dat niet gekoppeld is, is achteraf moeilijk terug te vinden.</w:t>
      </w:r>
    </w:p>
    <w:p>
      <w:pPr>
        <w:keepNext/>
        <w:spacing w:before="200" w:after="80"/>
      </w:pPr>
      <w:r>
        <w:rPr>
          <w:b/>
          <w:color w:val="123A5F"/>
          <w:sz w:val="24"/>
        </w:rPr>
        <w:t>16. Vastgelopen? Zo zet je het terug</w:t>
      </w:r>
    </w:p>
    <w:p>
      <w:r>
        <w:rPr>
          <w:b/>
          <w:i w:val="0"/>
          <w:sz w:val="22"/>
        </w:rPr>
        <w:t>Werk van licht naar zwaar en stop zodra het weer werkt. Ga pas een trede verder als de vorige niet hielp.</w:t>
      </w:r>
    </w:p>
    <w:tbl>
      <w:tblPr>
        <w:tblStyle w:val="TableGrid"/>
        <w:tblW w:type="auto" w:w="0"/>
        <w:jc w:val="left"/>
        <w:tblLook w:firstColumn="1" w:firstRow="1" w:lastColumn="0" w:lastRow="0" w:noHBand="0" w:noVBand="1" w:val="04A0"/>
      </w:tblPr>
      <w:tblGrid>
        <w:gridCol w:w="4513"/>
        <w:gridCol w:w="4513"/>
      </w:tblGrid>
      <w:tr>
        <w:tc>
          <w:tcPr>
            <w:tcW w:type="dxa" w:w="1814"/>
          </w:tcPr>
          <w:p>
            <w:r/>
            <w:r>
              <w:rPr>
                <w:b/>
                <w:color w:val="123A5F"/>
                <w:sz w:val="20"/>
              </w:rPr>
              <w:t>Trede</w:t>
            </w:r>
          </w:p>
        </w:tc>
        <w:tc>
          <w:tcPr>
            <w:tcW w:type="dxa" w:w="6973"/>
          </w:tcPr>
          <w:p>
            <w:r/>
            <w:r>
              <w:rPr>
                <w:b/>
                <w:color w:val="123A5F"/>
                <w:sz w:val="20"/>
              </w:rPr>
              <w:t>Wat je doet</w:t>
            </w:r>
          </w:p>
        </w:tc>
      </w:tr>
      <w:tr>
        <w:tc>
          <w:tcPr>
            <w:tcW w:type="dxa" w:w="1814"/>
          </w:tcPr>
          <w:p>
            <w:r/>
            <w:r>
              <w:rPr>
                <w:sz w:val="20"/>
              </w:rPr>
              <w:t>1. Verbinding</w:t>
            </w:r>
          </w:p>
        </w:tc>
        <w:tc>
          <w:tcPr>
            <w:tcW w:type="dxa" w:w="6973"/>
          </w:tcPr>
          <w:p>
            <w:r/>
            <w:r>
              <w:rPr>
                <w:sz w:val="20"/>
              </w:rPr>
              <w:t>‘Manage Devices’ → ‘Connect’ onder het toestel dat eruit ligt. Daarna ‘Scan Wi-Fi’ als het toestel helemaal niet meer in de lijst staat.</w:t>
            </w:r>
          </w:p>
        </w:tc>
      </w:tr>
      <w:tr>
        <w:tc>
          <w:tcPr>
            <w:tcW w:type="dxa" w:w="1814"/>
          </w:tcPr>
          <w:p>
            <w:r/>
            <w:r>
              <w:rPr>
                <w:sz w:val="20"/>
              </w:rPr>
              <w:t>2. Het toestel</w:t>
            </w:r>
          </w:p>
        </w:tc>
        <w:tc>
          <w:tcPr>
            <w:tcW w:type="dxa" w:w="6973"/>
          </w:tcPr>
          <w:p>
            <w:r/>
            <w:r>
              <w:rPr>
                <w:sz w:val="20"/>
              </w:rPr>
              <w:t>Zet de zender uit met de knop bovenaan, wacht tot de lampjes uit zijn, zet hem weer aan en verbind opnieuw.</w:t>
            </w:r>
          </w:p>
        </w:tc>
      </w:tr>
      <w:tr>
        <w:tc>
          <w:tcPr>
            <w:tcW w:type="dxa" w:w="1814"/>
          </w:tcPr>
          <w:p>
            <w:r/>
            <w:r>
              <w:rPr>
                <w:sz w:val="20"/>
              </w:rPr>
              <w:t>3. De software</w:t>
            </w:r>
          </w:p>
        </w:tc>
        <w:tc>
          <w:tcPr>
            <w:tcW w:type="dxa" w:w="6973"/>
          </w:tcPr>
          <w:p>
            <w:r/>
            <w:r>
              <w:rPr>
                <w:sz w:val="20"/>
              </w:rPr>
              <w:t>Sluit novel studio volledig en start de meting opnieuw vanuit de database.</w:t>
            </w:r>
          </w:p>
        </w:tc>
      </w:tr>
      <w:tr>
        <w:tc>
          <w:tcPr>
            <w:tcW w:type="dxa" w:w="1814"/>
          </w:tcPr>
          <w:p>
            <w:r/>
            <w:r>
              <w:rPr>
                <w:sz w:val="20"/>
              </w:rPr>
              <w:t>4. Het netwerk</w:t>
            </w:r>
          </w:p>
        </w:tc>
        <w:tc>
          <w:tcPr>
            <w:tcW w:type="dxa" w:w="6973"/>
          </w:tcPr>
          <w:p>
            <w:r/>
            <w:r>
              <w:rPr>
                <w:sz w:val="20"/>
              </w:rPr>
              <w:t>Zet de router uit en weer aan. Wacht tot het netwerk plidarRouterE046 weer zichtbaar is en verbind daarna de zenders opnieuw.</w:t>
            </w:r>
          </w:p>
        </w:tc>
      </w:tr>
      <w:tr>
        <w:tc>
          <w:tcPr>
            <w:tcW w:type="dxa" w:w="1814"/>
          </w:tcPr>
          <w:p>
            <w:r/>
            <w:r>
              <w:rPr>
                <w:sz w:val="20"/>
              </w:rPr>
              <w:t>5. De laptop</w:t>
            </w:r>
          </w:p>
        </w:tc>
        <w:tc>
          <w:tcPr>
            <w:tcW w:type="dxa" w:w="6973"/>
          </w:tcPr>
          <w:p>
            <w:r/>
            <w:r>
              <w:rPr>
                <w:sz w:val="20"/>
              </w:rPr>
              <w:t>Herstart de laptop. Start daarna eerst de database, dan pas de meting.</w:t>
            </w:r>
          </w:p>
        </w:tc>
      </w:tr>
    </w:tbl>
    <w:p/>
    <w:p>
      <w:r>
        <w:rPr>
          <w:b/>
          <w:i w:val="0"/>
          <w:sz w:val="22"/>
        </w:rPr>
        <w:t>Na élke reset: opnieuw nulstellen met de zolen onbelast op tafel, en béide condities overdoen. Een nieuwe nulstelling geeft een nieuwe nullijn.</w:t>
      </w:r>
    </w:p>
    <w:p>
      <w:r>
        <w:rPr>
          <w:b/>
          <w:i w:val="0"/>
          <w:sz w:val="22"/>
        </w:rPr>
        <w:t>Verder gaat niet zonder novel. In onze handleidingen staat geen fabrieksreset van de zender beschreven, en probeer er geen uit: een zender zonder configuratiebestanden is onbruikbaar tot novel ze opnieuw laadt. Noteer wat er gebeurde en meld het.</w:t>
      </w:r>
    </w:p>
    <w:p>
      <w:pPr>
        <w:keepNext/>
        <w:spacing w:before="200" w:after="80"/>
      </w:pPr>
      <w:r>
        <w:rPr>
          <w:b/>
          <w:color w:val="123A5F"/>
          <w:sz w:val="24"/>
        </w:rPr>
        <w:t>17. Onderhoud en technische gegevens</w:t>
      </w:r>
    </w:p>
    <w:p>
      <w:pPr>
        <w:pStyle w:val="ListBullet"/>
        <w:ind w:left="397"/>
      </w:pPr>
      <w:r>
        <w:t>Kalibratie met het trublu-toestel: minstens elke drie maanden, belasten tot 6 bar. Wijkt de softwarewaarde meer dan 5% af van de manometer, dan opnieuw kalibreren.</w:t>
      </w:r>
    </w:p>
    <w:p>
      <w:pPr>
        <w:pStyle w:val="ListBullet"/>
        <w:ind w:left="397"/>
      </w:pPr>
      <w:r>
        <w:t>Nooit vouwen. De kleinste toegelaten buigstraal is 20 mm, en buigen kan de gemeten druk tot 20 kPa verschuiven — even groot als de onderste kleurgrens.</w:t>
      </w:r>
    </w:p>
    <w:p>
      <w:pPr>
        <w:pStyle w:val="ListBullet"/>
        <w:ind w:left="397"/>
      </w:pPr>
      <w:r>
        <w:t>Controleer de zolen en de kabels voor elk gebruik op knikken, scheuren en losse aansluitingen.</w:t>
      </w:r>
    </w:p>
    <w:p>
      <w:r>
        <w:rPr>
          <w:b w:val="0"/>
          <w:i w:val="0"/>
          <w:sz w:val="22"/>
        </w:rPr>
      </w:r>
    </w:p>
    <w:p>
      <w:r>
        <w:rPr>
          <w:b/>
          <w:i w:val="0"/>
          <w:sz w:val="22"/>
        </w:rPr>
        <w:t>Technische gegevens van de zool, uit de pedar® Insole Catalogue:</w:t>
      </w:r>
    </w:p>
    <w:tbl>
      <w:tblPr>
        <w:tblStyle w:val="TableGrid"/>
        <w:tblW w:type="auto" w:w="0"/>
        <w:jc w:val="left"/>
        <w:tblLook w:firstColumn="1" w:firstRow="1" w:lastColumn="0" w:lastRow="0" w:noHBand="0" w:noVBand="1" w:val="04A0"/>
      </w:tblPr>
      <w:tblGrid>
        <w:gridCol w:w="4513"/>
        <w:gridCol w:w="4513"/>
      </w:tblGrid>
      <w:tr>
        <w:tc>
          <w:tcPr>
            <w:tcW w:type="dxa" w:w="4535"/>
          </w:tcPr>
          <w:p>
            <w:r/>
            <w:r>
              <w:rPr>
                <w:b/>
                <w:color w:val="123A5F"/>
                <w:sz w:val="20"/>
              </w:rPr>
              <w:t>Kenmerk</w:t>
            </w:r>
          </w:p>
        </w:tc>
        <w:tc>
          <w:tcPr>
            <w:tcW w:type="dxa" w:w="2835"/>
          </w:tcPr>
          <w:p>
            <w:r/>
            <w:r>
              <w:rPr>
                <w:b/>
                <w:color w:val="123A5F"/>
                <w:sz w:val="20"/>
              </w:rPr>
              <w:t>Waarde</w:t>
            </w:r>
          </w:p>
        </w:tc>
      </w:tr>
      <w:tr>
        <w:tc>
          <w:tcPr>
            <w:tcW w:type="dxa" w:w="4535"/>
          </w:tcPr>
          <w:p>
            <w:r/>
            <w:r>
              <w:rPr>
                <w:sz w:val="20"/>
              </w:rPr>
              <w:t>Aantal sensoren (volwassen zool)</w:t>
            </w:r>
          </w:p>
        </w:tc>
        <w:tc>
          <w:tcPr>
            <w:tcW w:type="dxa" w:w="2835"/>
          </w:tcPr>
          <w:p>
            <w:r/>
            <w:r>
              <w:rPr>
                <w:sz w:val="20"/>
              </w:rPr>
              <w:t>99</w:t>
            </w:r>
          </w:p>
        </w:tc>
      </w:tr>
      <w:tr>
        <w:tc>
          <w:tcPr>
            <w:tcW w:type="dxa" w:w="4535"/>
          </w:tcPr>
          <w:p>
            <w:r/>
            <w:r>
              <w:rPr>
                <w:sz w:val="20"/>
              </w:rPr>
              <w:t>Dikte van de sensor</w:t>
            </w:r>
          </w:p>
        </w:tc>
        <w:tc>
          <w:tcPr>
            <w:tcW w:type="dxa" w:w="2835"/>
          </w:tcPr>
          <w:p>
            <w:r/>
            <w:r>
              <w:rPr>
                <w:sz w:val="20"/>
              </w:rPr>
              <w:t>1,9 mm</w:t>
            </w:r>
          </w:p>
        </w:tc>
      </w:tr>
      <w:tr>
        <w:tc>
          <w:tcPr>
            <w:tcW w:type="dxa" w:w="4535"/>
          </w:tcPr>
          <w:p>
            <w:r/>
            <w:r>
              <w:rPr>
                <w:sz w:val="20"/>
              </w:rPr>
              <w:t>Drukbereik</w:t>
            </w:r>
          </w:p>
        </w:tc>
        <w:tc>
          <w:tcPr>
            <w:tcW w:type="dxa" w:w="2835"/>
          </w:tcPr>
          <w:p>
            <w:r/>
            <w:r>
              <w:rPr>
                <w:sz w:val="20"/>
              </w:rPr>
              <w:t>15 – 600 kPa</w:t>
            </w:r>
          </w:p>
        </w:tc>
      </w:tr>
      <w:tr>
        <w:tc>
          <w:tcPr>
            <w:tcW w:type="dxa" w:w="4535"/>
          </w:tcPr>
          <w:p>
            <w:r/>
            <w:r>
              <w:rPr>
                <w:sz w:val="20"/>
              </w:rPr>
              <w:t>Resolutie</w:t>
            </w:r>
          </w:p>
        </w:tc>
        <w:tc>
          <w:tcPr>
            <w:tcW w:type="dxa" w:w="2835"/>
          </w:tcPr>
          <w:p>
            <w:r/>
            <w:r>
              <w:rPr>
                <w:sz w:val="20"/>
              </w:rPr>
              <w:t>2,5 kPa</w:t>
            </w:r>
          </w:p>
        </w:tc>
      </w:tr>
      <w:tr>
        <w:tc>
          <w:tcPr>
            <w:tcW w:type="dxa" w:w="4535"/>
          </w:tcPr>
          <w:p>
            <w:r/>
            <w:r>
              <w:rPr>
                <w:sz w:val="20"/>
              </w:rPr>
              <w:t>Hysterese</w:t>
            </w:r>
          </w:p>
        </w:tc>
        <w:tc>
          <w:tcPr>
            <w:tcW w:type="dxa" w:w="2835"/>
          </w:tcPr>
          <w:p>
            <w:r/>
            <w:r>
              <w:rPr>
                <w:sz w:val="20"/>
              </w:rPr>
              <w:t>&lt; 7%</w:t>
            </w:r>
          </w:p>
        </w:tc>
      </w:tr>
      <w:tr>
        <w:tc>
          <w:tcPr>
            <w:tcW w:type="dxa" w:w="4535"/>
          </w:tcPr>
          <w:p>
            <w:r/>
            <w:r>
              <w:rPr>
                <w:sz w:val="20"/>
              </w:rPr>
              <w:t>Temperatuurdrift van de nullijn</w:t>
            </w:r>
          </w:p>
        </w:tc>
        <w:tc>
          <w:tcPr>
            <w:tcW w:type="dxa" w:w="2835"/>
          </w:tcPr>
          <w:p>
            <w:r/>
            <w:r>
              <w:rPr>
                <w:sz w:val="20"/>
              </w:rPr>
              <w:t>&lt; 0,5 kPa/K</w:t>
            </w:r>
          </w:p>
        </w:tc>
      </w:tr>
      <w:tr>
        <w:tc>
          <w:tcPr>
            <w:tcW w:type="dxa" w:w="4535"/>
          </w:tcPr>
          <w:p>
            <w:r/>
            <w:r>
              <w:rPr>
                <w:sz w:val="20"/>
              </w:rPr>
              <w:t>Frequentierespons</w:t>
            </w:r>
          </w:p>
        </w:tc>
        <w:tc>
          <w:tcPr>
            <w:tcW w:type="dxa" w:w="2835"/>
          </w:tcPr>
          <w:p>
            <w:r/>
            <w:r>
              <w:rPr>
                <w:sz w:val="20"/>
              </w:rPr>
              <w:t>0 – 100 Hz, &lt; 2 dB</w:t>
            </w:r>
          </w:p>
        </w:tc>
      </w:tr>
      <w:tr>
        <w:tc>
          <w:tcPr>
            <w:tcW w:type="dxa" w:w="4535"/>
          </w:tcPr>
          <w:p>
            <w:r/>
            <w:r>
              <w:rPr>
                <w:sz w:val="20"/>
              </w:rPr>
              <w:t>Minimale buigstraal</w:t>
            </w:r>
          </w:p>
        </w:tc>
        <w:tc>
          <w:tcPr>
            <w:tcW w:type="dxa" w:w="2835"/>
          </w:tcPr>
          <w:p>
            <w:r/>
            <w:r>
              <w:rPr>
                <w:sz w:val="20"/>
              </w:rPr>
              <w:t>20 mm</w:t>
            </w:r>
          </w:p>
        </w:tc>
      </w:tr>
      <w:tr>
        <w:tc>
          <w:tcPr>
            <w:tcW w:type="dxa" w:w="4535"/>
          </w:tcPr>
          <w:p>
            <w:r/>
            <w:r>
              <w:rPr>
                <w:sz w:val="20"/>
              </w:rPr>
              <w:t>Drukverandering door buigen</w:t>
            </w:r>
          </w:p>
        </w:tc>
        <w:tc>
          <w:tcPr>
            <w:tcW w:type="dxa" w:w="2835"/>
          </w:tcPr>
          <w:p>
            <w:r/>
            <w:r>
              <w:rPr>
                <w:sz w:val="20"/>
              </w:rPr>
              <w:t>&lt; 20 kPa</w:t>
            </w:r>
          </w:p>
        </w:tc>
      </w:tr>
    </w:tbl>
    <w:p/>
    <w:p>
      <w:r>
        <w:rPr>
          <w:b w:val="0"/>
          <w:i/>
          <w:sz w:val="16"/>
        </w:rPr>
        <w:t>Bron: pedar® Insole Catalogue, novel gmbh, 2020.</w:t>
      </w:r>
    </w:p>
    <w:p>
      <w:pPr>
        <w:keepNext/>
        <w:spacing w:before="200" w:after="80"/>
      </w:pPr>
      <w:r>
        <w:rPr>
          <w:b/>
          <w:color w:val="123A5F"/>
          <w:sz w:val="24"/>
        </w:rPr>
        <w:t>18. Als er iets misloopt</w:t>
      </w:r>
    </w:p>
    <w:tbl>
      <w:tblPr>
        <w:tblStyle w:val="TableGrid"/>
        <w:tblW w:type="auto" w:w="0"/>
        <w:jc w:val="left"/>
        <w:tblLook w:firstColumn="1" w:firstRow="1" w:lastColumn="0" w:lastRow="0" w:noHBand="0" w:noVBand="1" w:val="04A0"/>
      </w:tblPr>
      <w:tblGrid>
        <w:gridCol w:w="4513"/>
        <w:gridCol w:w="4513"/>
      </w:tblGrid>
      <w:tr>
        <w:tc>
          <w:tcPr>
            <w:tcW w:type="dxa" w:w="3288"/>
          </w:tcPr>
          <w:p>
            <w:r/>
            <w:r>
              <w:rPr>
                <w:b/>
                <w:color w:val="123A5F"/>
                <w:sz w:val="20"/>
              </w:rPr>
              <w:t>Wat je ziet</w:t>
            </w:r>
          </w:p>
        </w:tc>
        <w:tc>
          <w:tcPr>
            <w:tcW w:type="dxa" w:w="5783"/>
          </w:tcPr>
          <w:p>
            <w:r/>
            <w:r>
              <w:rPr>
                <w:b/>
                <w:color w:val="123A5F"/>
                <w:sz w:val="20"/>
              </w:rPr>
              <w:t>Wat je doet</w:t>
            </w:r>
          </w:p>
        </w:tc>
      </w:tr>
      <w:tr>
        <w:tc>
          <w:tcPr>
            <w:tcW w:type="dxa" w:w="3288"/>
          </w:tcPr>
          <w:p>
            <w:r/>
            <w:r>
              <w:rPr>
                <w:sz w:val="20"/>
              </w:rPr>
              <w:t>Een toestel verschijnt niet bij ‘Scan Wi-Fi’</w:t>
            </w:r>
          </w:p>
        </w:tc>
        <w:tc>
          <w:tcPr>
            <w:tcW w:type="dxa" w:w="5783"/>
          </w:tcPr>
          <w:p>
            <w:r/>
            <w:r>
              <w:rPr>
                <w:sz w:val="20"/>
              </w:rPr>
              <w:t>Staat de router aan? Staat de zender aan? Ben je binnen bereik? Scan opnieuw.</w:t>
            </w:r>
          </w:p>
        </w:tc>
      </w:tr>
      <w:tr>
        <w:tc>
          <w:tcPr>
            <w:tcW w:type="dxa" w:w="3288"/>
          </w:tcPr>
          <w:p>
            <w:r/>
            <w:r>
              <w:rPr>
                <w:sz w:val="20"/>
              </w:rPr>
              <w:t>Het toestel blijft op ‘Device lost’ staan</w:t>
            </w:r>
          </w:p>
        </w:tc>
        <w:tc>
          <w:tcPr>
            <w:tcW w:type="dxa" w:w="5783"/>
          </w:tcPr>
          <w:p>
            <w:r/>
            <w:r>
              <w:rPr>
                <w:sz w:val="20"/>
              </w:rPr>
              <w:t>Klik opnieuw op ‘Connect’. Helpt dat niet, zet de zender uit en weer aan.</w:t>
            </w:r>
          </w:p>
        </w:tc>
      </w:tr>
      <w:tr>
        <w:tc>
          <w:tcPr>
            <w:tcW w:type="dxa" w:w="3288"/>
          </w:tcPr>
          <w:p>
            <w:r/>
            <w:r>
              <w:rPr>
                <w:sz w:val="20"/>
              </w:rPr>
              <w:t>‘Not zeroed’ verdwijnt niet</w:t>
            </w:r>
          </w:p>
        </w:tc>
        <w:tc>
          <w:tcPr>
            <w:tcW w:type="dxa" w:w="5783"/>
          </w:tcPr>
          <w:p>
            <w:r/>
            <w:r>
              <w:rPr>
                <w:sz w:val="20"/>
              </w:rPr>
              <w:t>De zolen moeten volledig onbelast zijn: vlak op tafel, niets erop, en niet vastgehouden. Probeer opnieuw.</w:t>
            </w:r>
          </w:p>
        </w:tc>
      </w:tr>
      <w:tr>
        <w:tc>
          <w:tcPr>
            <w:tcW w:type="dxa" w:w="3288"/>
          </w:tcPr>
          <w:p>
            <w:r/>
            <w:r>
              <w:rPr>
                <w:sz w:val="20"/>
              </w:rPr>
              <w:t>Bij ‘Configuration’ staat geen of het verkeerde bestand</w:t>
            </w:r>
          </w:p>
        </w:tc>
        <w:tc>
          <w:tcPr>
            <w:tcW w:type="dxa" w:w="5783"/>
          </w:tcPr>
          <w:p>
            <w:r/>
            <w:r>
              <w:rPr>
                <w:sz w:val="20"/>
              </w:rPr>
              <w:t>Ga terug naar ‘Select config file’ en kies links, in de kolom van het toestel, het bestand dat overeenkomt met het label op de zool. Meet niet verder tot dit klopt.</w:t>
            </w:r>
          </w:p>
        </w:tc>
      </w:tr>
      <w:tr>
        <w:tc>
          <w:tcPr>
            <w:tcW w:type="dxa" w:w="3288"/>
          </w:tcPr>
          <w:p>
            <w:r/>
            <w:r>
              <w:rPr>
                <w:sz w:val="20"/>
              </w:rPr>
              <w:t>Het configuratiebestand staat niet in de rechterkolom</w:t>
            </w:r>
          </w:p>
        </w:tc>
        <w:tc>
          <w:tcPr>
            <w:tcW w:type="dxa" w:w="5783"/>
          </w:tcPr>
          <w:p>
            <w:r/>
            <w:r>
              <w:rPr>
                <w:sz w:val="20"/>
              </w:rPr>
              <w:t>Dat hindert de meting niet — de linkerkolom telt. Wil je het bestand toch lokaal, gebruik dan ‘Pick configuration file’ of ‘Import config file’.</w:t>
            </w:r>
          </w:p>
        </w:tc>
      </w:tr>
      <w:tr>
        <w:tc>
          <w:tcPr>
            <w:tcW w:type="dxa" w:w="3288"/>
          </w:tcPr>
          <w:p>
            <w:r/>
            <w:r>
              <w:rPr>
                <w:sz w:val="20"/>
              </w:rPr>
              <w:t>Er staan minder dan 99 actieve cellen</w:t>
            </w:r>
          </w:p>
        </w:tc>
        <w:tc>
          <w:tcPr>
            <w:tcW w:type="dxa" w:w="5783"/>
          </w:tcPr>
          <w:p>
            <w:r/>
            <w:r>
              <w:rPr>
                <w:sz w:val="20"/>
              </w:rPr>
              <w:t>Er zijn sensorcellen uitgeschakeld. Meld dit en meet niet verder.</w:t>
            </w:r>
          </w:p>
        </w:tc>
      </w:tr>
      <w:tr>
        <w:tc>
          <w:tcPr>
            <w:tcW w:type="dxa" w:w="3288"/>
          </w:tcPr>
          <w:p>
            <w:r/>
            <w:r>
              <w:rPr>
                <w:sz w:val="20"/>
              </w:rPr>
              <w:t>Het beeld toont maar één voet</w:t>
            </w:r>
          </w:p>
        </w:tc>
        <w:tc>
          <w:tcPr>
            <w:tcW w:type="dxa" w:w="5783"/>
          </w:tcPr>
          <w:p>
            <w:r/>
            <w:r>
              <w:rPr>
                <w:sz w:val="20"/>
              </w:rPr>
              <w:t>Controleer de connector tussen zool en zender, en of beide toestellen op ‘Ready’ staan.</w:t>
            </w:r>
          </w:p>
        </w:tc>
      </w:tr>
      <w:tr>
        <w:tc>
          <w:tcPr>
            <w:tcW w:type="dxa" w:w="3288"/>
          </w:tcPr>
          <w:p>
            <w:r/>
            <w:r>
              <w:rPr>
                <w:sz w:val="20"/>
              </w:rPr>
              <w:t>Minder dan 12 bruikbare stappen per voet</w:t>
            </w:r>
          </w:p>
        </w:tc>
        <w:tc>
          <w:tcPr>
            <w:tcW w:type="dxa" w:w="5783"/>
          </w:tcPr>
          <w:p>
            <w:r/>
            <w:r>
              <w:rPr>
                <w:sz w:val="20"/>
              </w:rPr>
              <w:t>Laat de deelnemer nog een doorgang lopen en meet opnieuw.</w:t>
            </w:r>
          </w:p>
        </w:tc>
      </w:tr>
      <w:tr>
        <w:tc>
          <w:tcPr>
            <w:tcW w:type="dxa" w:w="3288"/>
          </w:tcPr>
          <w:p>
            <w:r/>
            <w:r>
              <w:rPr>
                <w:sz w:val="20"/>
              </w:rPr>
              <w:t>De batterij valt uit tijdens de meting</w:t>
            </w:r>
          </w:p>
        </w:tc>
        <w:tc>
          <w:tcPr>
            <w:tcW w:type="dxa" w:w="5783"/>
          </w:tcPr>
          <w:p>
            <w:r/>
            <w:r>
              <w:rPr>
                <w:sz w:val="20"/>
              </w:rPr>
              <w:t>De meting is onbruikbaar. Laad op en stel opnieuw nul — en doe dan béide condities over, want na een nieuwe nulstelling staan ze niet meer op dezelfde nullijn.</w:t>
            </w:r>
          </w:p>
        </w:tc>
      </w:tr>
      <w:tr>
        <w:tc>
          <w:tcPr>
            <w:tcW w:type="dxa" w:w="3288"/>
          </w:tcPr>
          <w:p>
            <w:r/>
            <w:r>
              <w:rPr>
                <w:sz w:val="20"/>
              </w:rPr>
              <w:t>De deelnemer bleef halverwege staan</w:t>
            </w:r>
          </w:p>
        </w:tc>
        <w:tc>
          <w:tcPr>
            <w:tcW w:type="dxa" w:w="5783"/>
          </w:tcPr>
          <w:p>
            <w:r/>
            <w:r>
              <w:rPr>
                <w:sz w:val="20"/>
              </w:rPr>
              <w:t>Voor de norm geen probleem: MPP verandert er niet door. Wil je de gemiddelden gebruiken, dan knipt het studieteam de frames er achteraf uit — ‘Set Range’ kan dat niet, dat past alleen de grafiek aan. Zie hoofdstuk 12.</w:t>
            </w:r>
          </w:p>
        </w:tc>
      </w:tr>
    </w:tbl>
    <w:p/>
    <w:p>
      <w:r>
        <w:br w:type="page"/>
      </w:r>
    </w:p>
    <w:p>
      <w:pPr>
        <w:keepNext/>
        <w:spacing w:before="0" w:after="80"/>
      </w:pPr>
      <w:r>
        <w:rPr>
          <w:b/>
          <w:color w:val="123A5F"/>
          <w:sz w:val="24"/>
        </w:rPr>
        <w:t>Nog vast te leggen vóór de opleiding</w:t>
      </w:r>
    </w:p>
    <w:p>
      <w:r>
        <w:rPr>
          <w:b w:val="0"/>
          <w:i/>
          <w:sz w:val="22"/>
        </w:rPr>
        <w:t>De punten hieronder zijn niet gedekt door de schermafbeeldingen, de configuratiebestanden, de cataloog of het protocol. Tot ze beslist zijn, is dit een concept.</w:t>
      </w:r>
    </w:p>
    <w:p>
      <w:pPr>
        <w:ind w:left="397" w:hanging="397"/>
      </w:pPr>
      <w:r>
        <w:rPr>
          <w:b/>
        </w:rPr>
        <w:t xml:space="preserve">1. </w:t>
      </w:r>
      <w:r>
        <w:t>Het masker met de acht regio’s. De programma’s bestaan (hoofdstuk 14), maar het masker zelf is nog niet getekend. Vast te leggen: wie het tekent, op welke referentiezool, en of de acht regio’s van het protocol als percentage van de zoollengte vastliggen of per deelnemer bijgesteld worden.</w:t>
      </w:r>
    </w:p>
    <w:p>
      <w:pPr>
        <w:ind w:left="397" w:hanging="397"/>
      </w:pPr>
      <w:r>
        <w:rPr>
          <w:b/>
        </w:rPr>
        <w:t xml:space="preserve">2. </w:t>
      </w:r>
      <w:r>
        <w:t>Of de waarden die de clinicus op het palet aflas achteraf vervangen worden door de maskerwaarden, of dat beide bewaard blijven — de ene als klinische beslissing, de andere als analysedata.</w:t>
      </w:r>
    </w:p>
    <w:p>
      <w:pPr>
        <w:ind w:left="397" w:hanging="397"/>
      </w:pPr>
      <w:r>
        <w:rPr>
          <w:b/>
        </w:rPr>
        <w:t xml:space="preserve">3. </w:t>
      </w:r>
      <w:r>
        <w:t>Welke MVP-weergave het studieteam wil voor de secundaire analyses: MVP O, LF of LC. Voor de norm maakt het niet uit, want die gaat op MPP.</w:t>
      </w:r>
    </w:p>
    <w:p>
      <w:pPr>
        <w:ind w:left="397" w:hanging="397"/>
      </w:pPr>
      <w:r>
        <w:rPr>
          <w:b/>
        </w:rPr>
        <w:t xml:space="preserve">4. </w:t>
      </w:r>
      <w:r>
        <w:t>Exportformaat en bestandsnaamgeving van het pedar-bestand zelf. De route van de Pressure Monitoring Tool ligt vast (hoofdstuk 13); hoe het geëxporteerde meetbestand bij het studieteam raakt nog niet.</w:t>
      </w:r>
    </w:p>
    <w:p>
      <w:pPr>
        <w:ind w:left="397" w:hanging="397"/>
      </w:pPr>
      <w:r>
        <w:rPr>
          <w:b/>
        </w:rPr>
        <w:t xml:space="preserve">5. </w:t>
      </w:r>
      <w:r>
        <w:t>Het blad ‘Visit’ van de Pressure Monitoring Tool kent nog zes regio’s per voet: de middenvoet is niet gesplitst en tenen 2-5 ontbreken, in het overzicht, in de exportblokken én in de hulpkolommen van de grafieken. Om te bouwen zodra het masker de zestien velden oplevert; het blad ‘Meting’ heeft de acht al.</w:t>
      </w:r>
    </w:p>
    <w:p>
      <w:pPr>
        <w:ind w:left="397" w:hanging="397"/>
      </w:pPr>
      <w:r>
        <w:rPr>
          <w:b/>
        </w:rPr>
        <w:t xml:space="preserve">6. </w:t>
      </w:r>
      <w:r>
        <w:t>Of er één centrale database komt of één per centrum. Dát er vanuit de database gemeten wordt ligt vast (hoofdstuk 3 en 10), maar Sint_Jan_Paradise_Project draait voorlopig lokaal: hoe de vijf andere centra erin terechtkomen en hoe de back-up loopt, is nog niet beslist.</w:t>
      </w:r>
    </w:p>
    <w:p>
      <w:pPr>
        <w:ind w:left="397" w:hanging="397"/>
      </w:pPr>
      <w:r>
        <w:rPr>
          <w:b/>
        </w:rPr>
        <w:t xml:space="preserve">7. </w:t>
      </w:r>
      <w:r>
        <w:t>Wat te doen als het ook na herhalen niet lukt: een deelnemer die de tien meter niet aan één stuk haalt, of die na drie doorgangen nog geen 12 bruikbare stappen per voet levert. Meten met minder, of noteren als niet meetbaar?</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PARADISE-studie  ·  eCRF 09b: Werkinstructie drukmeting (SOP Novel pedar) ·  Versie [ 1.0 ]  ·  [ 14/09/2026 ]  ·  Pagina </w:t>
    </w:r>
    <w:r>
      <w:rPr>
        <w:sz w:val="16"/>
        <w:rFonts w:ascii="Arial" w:hAnsi="Arial"/>
      </w:rPr>
      <w:fldChar w:fldCharType="begin"/>
    </w:r>
    <w:r>
      <w:rPr>
        <w:sz w:val="16"/>
        <w:rFonts w:ascii="Arial" w:hAnsi="Arial"/>
      </w:rPr>
      <w:instrText xml:space="preserve"> PAGE </w:instrText>
    </w:r>
    <w:r>
      <w:rPr>
        <w:sz w:val="16"/>
        <w:rFonts w:ascii="Arial" w:hAnsi="Arial"/>
      </w:rPr>
      <w:fldChar w:fldCharType="separate"/>
    </w:r>
    <w:r>
      <w:rPr>
        <w:sz w:val="16"/>
        <w:rFonts w:ascii="Arial" w:hAnsi="Arial"/>
      </w:rPr>
      <w:t>1</w:t>
    </w:r>
    <w:r>
      <w:rPr>
        <w:sz w:val="16"/>
        <w:rFonts w:ascii="Arial" w:hAnsi="Arial"/>
      </w:rPr>
      <w:fldChar w:fldCharType="end"/>
    </w:r>
    <w:r>
      <w:rPr>
        <w:rFonts w:ascii="Arial" w:hAnsi="Arial"/>
        <w:sz w:val="16"/>
      </w:rPr>
      <w:t xml:space="preserve"> van </w:t>
    </w:r>
    <w:r>
      <w:rPr>
        <w:sz w:val="16"/>
        <w:rFonts w:ascii="Arial" w:hAnsi="Arial"/>
      </w:rPr>
      <w:fldChar w:fldCharType="begin"/>
    </w:r>
    <w:r>
      <w:rPr>
        <w:sz w:val="16"/>
        <w:rFonts w:ascii="Arial" w:hAnsi="Arial"/>
      </w:rPr>
      <w:instrText xml:space="preserve"> NUMPAGES </w:instrText>
    </w:r>
    <w:r>
      <w:rPr>
        <w:sz w:val="16"/>
        <w:rFonts w:ascii="Arial" w:hAnsi="Arial"/>
      </w:rPr>
      <w:fldChar w:fldCharType="separate"/>
    </w:r>
    <w:r>
      <w:rPr>
        <w:sz w:val="16"/>
        <w:rFonts w:ascii="Arial" w:hAnsi="Arial"/>
      </w:rPr>
      <w:t>1</w:t>
    </w:r>
    <w:r>
      <w:rPr>
        <w:sz w:val="16"/>
        <w:rFonts w:ascii="Arial" w:hAnsi="Arial"/>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