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occurrence of infection (classified using PEDIS/WIfI; eCRF-Document 36/38), and occurrence of major (above-ankle) or minor (below-ankle) amputation (captured via adverse event reporting, see Section 6).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