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after which five-year mortality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w:t>
      </w:r>
      <w:r w:rsidR="00401701">
        <w:rPr>
          <w:lang w:val="en-GB"/>
        </w:rPr>
        <w:t xml:space="preserve">tar stress,</w:t>
      </w:r>
      <w:r w:rsidRPr="00D1417A">
        <w:rPr>
          <w:lang w:val="en-GB"/>
        </w:rPr>
        <w:t xml:space="preserve"> and peripheral artery disease persist unchanged after </w:t>
      </w:r>
      <w:r w:rsidR="00401701">
        <w:rPr>
          <w:lang w:val="en-GB"/>
        </w:rPr>
        <w:t xml:space="preserve">epithelialization</w:t>
      </w:r>
      <w:r w:rsidRPr="00D1417A">
        <w:rPr>
          <w:lang w:val="en-GB"/>
        </w:rPr>
        <w:t xml:space="preserve"> [1]. The proximate mechanism is mechanical</w:t>
      </w:r>
      <w:r w:rsidR="00401701">
        <w:rPr>
          <w:lang w:val="en-GB"/>
        </w:rPr>
        <w:t xml:space="preserve">, involving</w:t>
      </w:r>
      <w:r w:rsidRPr="00D1417A">
        <w:rPr>
          <w:lang w:val="en-GB"/>
        </w:rPr>
        <w:t xml:space="preserve"> repetitive vertical and shear stress applied to a foot that has lost the protective</w:t>
      </w:r>
      <w:r w:rsidR="00401701">
        <w:rPr>
          <w:lang w:val="en-GB"/>
        </w:rPr>
        <w:t xml:space="preserve"> sensation,</w:t>
      </w:r>
      <w:r w:rsidRPr="00D1417A">
        <w:rPr>
          <w:lang w:val="en-GB"/>
        </w:rPr>
        <w:t xml:space="preserve"> which would otherwise interrupt it [1].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[3], applied within the state-of-the-art design protocol that specifies modification whenever midfoot or forefoot peak pressure exceeds 200 kPa [4]; pressure-informed therapeutic footwear is standard of care after ulceration [5].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[6]. Benefits appeared only among the 46% of participants who wore the footwear as prescribed: recurrence in that subgroup was 25.7% with improved footwear versus 47.8% with usual care (odds ratio 0.38, 95% CI 0.15–0.99, p = 0.045) [6]. Accordingly, the trial's conclusion was conditional: improved offloading does not reduce recurrence unless it is worn as recommended [6].</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of patient education included in the International Working Group on the Diabetic Foot systematic review of recurrence prevention, the mean effect size was −13.4%, indicating no protective effect [1,7]. The most rigorous individual trial evaluating a structured single educational session found no reduction in ulceration at either six or twelve months [8].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[9].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[10]; fewer than one-third of patients wear prescribed footwear more than 80% of the time [6,10].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[11].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[12].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[13].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[1,14].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[15],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[16].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[8].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w:t>
      </w:r>
      <w:r w:rsidR="00CC52FA">
        <w:rPr>
          <w:lang w:val="en-GB"/>
        </w:rPr>
        <w:t xml:space="preserve">ior work, and </w:t>
      </w:r>
      <w:r w:rsidRPr="00D1417A">
        <w:rPr>
          <w:lang w:val="en-GB"/>
        </w:rPr>
        <w:t xml:space="preserve">its associated effect has been sub</w:t>
      </w:r>
      <w:r w:rsidR="00CC52FA">
        <w:rPr>
          <w:lang w:val="en-GB"/>
        </w:rPr>
        <w:t xml:space="preserve">stantial: the </w:t>
      </w:r>
      <w:r w:rsidRPr="00D1417A">
        <w:rPr>
          <w:lang w:val="en-GB"/>
        </w:rPr>
        <w:t xml:space="preserve">mean risk reduction was 58.1% for adherence to therapeutic footwear and 85.5% for adherence to educational recommendations [1,7].</w:t>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[17].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[6], whereas adherence-monitoring approaches have mainly been evaluated in other healthcare systems, with challenges in implementation reported [15].</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[9].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[18].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[19]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[20]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[21].</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spacing w:after="140" w:line="276" w:lineRule="auto"/>
        <w:jc w:val="both"/>
        <w:rPr>
          <w:lang w:val="en-GB"/>
        </w:rPr>
      </w:pPr>
      <w:r w:rsidRPr="00D1417A">
        <w:rPr>
          <w:lang w:val="en-GB"/>
        </w:rPr>
        <w:t xml:space="preserve">#### 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spacing w:after="140" w:line="276" w:lineRule="auto"/>
        <w:jc w:val="both"/>
        <w:rPr>
          <w:lang w:val="en-GB"/>
        </w:rPr>
      </w:pPr>
      <w:r w:rsidRPr="00D1417A">
        <w:rPr>
          <w:lang w:val="en-GB"/>
        </w:rPr>
        <w:t xml:space="preserve">#### 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[5]: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spacing w:after="140" w:line="276" w:lineRule="auto"/>
        <w:jc w:val="both"/>
        <w:rPr>
          <w:lang w:val="en-GB"/>
        </w:rPr>
      </w:pPr>
      <w:r w:rsidRPr="00D1417A">
        <w:rPr>
          <w:lang w:val="en-GB"/>
        </w:rPr>
        <w:t xml:space="preserve">#### 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[4].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[4] and the optimisation criteria validated in that group’s earlier work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[22]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[10]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[23];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[24],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[1,14],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[26];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[27];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w:t>
      </w:r>
      <w:r w:rsidRPr="00D1417A">
        <w:rPr>
          <w:lang w:val="en-GB"/>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w:t>
      </w:r>
      <w:proofErr w:type="spellStart"/>
      <w:r w:rsidRPr="00D1417A">
        <w:rPr>
          <w:lang w:val="en-GB"/>
        </w:rPr>
        <w:t xml:space="preserve">MoveMonitor</w:t>
      </w:r>
      <w:proofErr w:type="spellEnd"/>
      <w:r w:rsidRPr="00D1417A">
        <w:rPr>
          <w:lang w:val="en-GB"/>
        </w:rPr>
        <w:t xml:space="preserve"> activity profiling and continuous Orthotimer wear-time recording. Because in-shoe pressure is measured at three timepoints while activity and wear time are recorded continuously, pressure is carried forward between measurement</w:t>
      </w:r>
      <w:r w:rsidRPr="00D1417A">
        <w:rPr>
          <w:lang w:val="en-GB"/>
        </w:rPr>
        <w:t xml:space="preserve">s; this approximation is stated explicitly and its influence examined by restricting analysis to the intervals immediately surrounding each pressure measurement.</w:t>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[6]</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[6,10],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[10]. Anticipating an increase to 85% under PARADISE — comparable in magnitude to the improvement observed when adherence was actively targeted in prior work [28]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[6],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[12],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[29],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w:t>
      </w:r>
      <w:r w:rsidRPr="00D1417A">
        <w:rPr>
          <w:lang w:val="en-GB"/>
        </w:rPr>
        <w:t xml:space="preserve">ffective, rising to €−5317 and 0.94 in the subgroup adherent to wearing the footwear [30].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w:t>
      </w:r>
      <w:r w:rsidRPr="00D1417A">
        <w:rPr>
          <w:lang w:val="en-GB"/>
        </w:rPr>
        <w:t xml:space="preserve"> four limitations that define what a subsequent evaluation should do: adopt a societal perspective, incorporate quality-adjusted life years, collect ulcer treatment costs prospectively rather than importing them from reference data, and extend beyond 18 months using a Markov model [30].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[31].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[32].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[33],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guideline-concordant prevention was cost-saving at €−904 per participant over </w:t>
      </w:r>
      <w:r w:rsidR="009A189C">
        <w:rPr>
          <w:lang w:val="en-GB"/>
        </w:rPr>
        <w:t xml:space="preserve">five years,</w:t>
      </w:r>
      <w:r w:rsidRPr="00D1417A">
        <w:rPr>
          <w:lang w:val="en-GB"/>
        </w:rPr>
        <w:t xml:space="preserve"> assuming adherence [34], and cost-effective over a lifetime horizon at under $25,000 per QALY gained [35]. A trial-based evaluation of at-home temperature monitoring in the same population and over the same 18-month horizon reported an ICER of €−11,580 per ulcer prevented with a 79% probability of cost-effectiveness [36]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[37]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[6,8],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[18].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[6]. Patient education, delivered conventionally, has shown no protective effect at all [1,7,8]. Objective adherence monitoring has been validated as a measurement technique [15] </w:t>
      </w:r>
      <w:r w:rsidRPr="00D1417A">
        <w:rPr>
          <w:lang w:val="en-GB"/>
        </w:rPr>
        <w:t xml:space="preserve">but implemented with only moderate success where it has been tried [15]. Continuous digital pressure feedback reduced recurrence in a proof-of-concept trial, again principally among adherent users [9].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[1,14]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[12], and the strongest evidence linking it to future ulceration remains observational and twelve months long [13].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[4].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[12];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Bus SA, van Netten JJ. A shift in priority in diabetic foot care and research: 75% of foot ulcers are preventable. Diabetes Metab Res Rev. 2016;32(Suppl 1):195–200. doi:10.1002/dmrr.2738</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Bus SA, Zwaferink JB, Dahmen R, Busch-Westbroek T. State of the art design protocol for custom made footwear for people with diabetes and peripheral neuropathy. Diabetes Metab Res Rev. 2020;36(S1):e3237. doi:10.1002/dmrr.3237</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Waaijman R, Arts M, de Haart M, Busch-Westbroek T, van Baal J, et al. Effect of custom-made footwear on foot ulcer recurrence in diabetes: a multicenter randomized controlled trial. Diabetes Care. 2013;36(12):4109–4116. doi:10.2337/dc13-0996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van Netten JJ, Price PE, Lavery LA, Monteiro-Soares M, Rasmussen A, Jubiz Y, et al. Prevention of foot ulcers in the at-risk patient with diabetes: a systematic review. Diabetes Metab Res Rev. 2016;32(Suppl 1):84–98. doi:10.1002/dmrr.2701</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Lincoln NB, Radford KA, Game FL, Jeffcoate WJ. Education for secondary prevention of foot ulcers in people with diabetes: a randomised controlled trial. Diabetologia. 2008;51(11):1954–1961. doi:10.1007/s00125-008-1110-0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van Netten JJ, van Baal JG, Bril A, Wissink M, Bus SA. An exploratory study on differences in cumulative plantar tissue stress between healing and non-healing plantar neuropathic diabetic foot ulcers. Clin Biomech. 2018;53:86–92. doi:10.1016/j.clinbiomech.2018.02.012</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Michie S, van Stralen MM, West R. The behaviour change wheel: a new method for characterising and designing behaviour change interventions. Implement Sci. 2011;6:42. doi:10.1186/1748-5908-6-42</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Morbach S, Kersken J, Lobmann R, Nobels F, Doggen K, Van Acker K. The German and Belgian accreditation models for diabetic foot services. Diabetes Metab Res Rev. 2016;32(Suppl 1):318–325. doi:10.1002/dmrr.2752</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Chan A-W, Boutron I, Hopewell S, Moher D, Schulz KF, Collins GS, et al. SPIRIT 2025 statement: updated guideline for protocols of randomised trials. BMJ. 2025;389:e081477. doi:10.1136/bmj-2024-081477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Loudon K, Treweek S, Sullivan F, Donnan PT, Thorpe KE, Zwarenstein M. The PRECIS-2 tool: designing trials that are fit for purpose. BMJ. 2015;350:h2147. doi:10.1136/bmj.h2147</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Hopewell S, Chan A-W, Collins GS, Hróbjartsson A, Moher D, Schulz KF, et al. CONSORT 2025 statement: updated guideline for reporting randomised trials. BMJ. 2025;389:e081123. doi:10.1136/bmj-2024-081123</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Lincoln NB, Jeffcoate WJ, Ince P, Smith M, Radford KA. Validation of a new measure of protective footcare behaviour: the Nottingham Assessment of Functional Footcare (NAFF). Practical Diabetes International. 2007;24(4):207–211. doi:10.1002/pdi.1099</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Zwaferink JBJ, Nollet F, Bus SA. In-shoe pressure measurements in diabetic footwear practice: success rate and facilitators of and barriers to implementation. Sensors. 2024;24(6):1795. doi:10.3390/s24061795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Dahmen R, Siemonsma PC, Monteiro S, Roorda LD, Lankhorst GJ, Boers M. Evaluation of the wear-and-tear scale for therapeutic footwear: results of a generalizability study. J Rehabil Med. 2018;50(6):569–574. doi:10.2340/16501977-2339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Husereau D, Drummond M, Petrou S, Carswell C, Moher D, Greenberg D, et al. Consolidated Health Economic Evaluation Reporting Standards (CHEERS) statement. Pharmacoeconomics. 2013;31(5):361–367. doi:10.1007/s40273-013-0032-y</w:t>
      </w:r>
    </w:p>
    <w:p ns2:paraId="11F664E0" ns2:textId="77777777" w:rsidR="00D47670" w:rsidRDefault="00A02229">
      <w:pPr>
        <w:spacing w:after="100"/>
        <w:ind w:left="454" w:hanging="454"/>
      </w:pPr>
      <w:r w:rsidRPr="00D1417A">
        <w:rPr>
          <w:sz w:val="20"/>
          <w:szCs w:val="20"/>
          <w:lang w:val="en-GB"/>
        </w:rPr>
        <w:t>32. Hakkaart-van Roijen L, Peeters S, Kanters T. Kostenhandleiding voor economische evaluaties in de gezondheidszorg: methodologie en referentieprijzen. Diemen: Zorginstituut Nederland; 2024.</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Prompers L, Huijberts M, Schaper N, Apelqvist J, Bakker K, Edmonds M, et al. Resource utilisation and costs associated with the treatment of diabetic foot ulcers. Prospective data from the Eurodiale Study. Diabetologia. 2008;51(10):1826–1834. doi:10.1007/s00125-008-1089-6</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Ragnarson Tennvall G, Apelqvist J. Prevention of diabetes-related foot ulcers and amputations: a cost-utility analysis based on Markov model simulations. Diabetologia. 2001;44(11):2077–2087. doi:10.1007/s001250100013</w:t>
      </w:r>
    </w:p>
    <w:p ns2:paraId="11F664E3" ns2:textId="77777777" w:rsidR="00D47670" w:rsidRPr="00D1417A" w:rsidRDefault="00A02229">
      <w:pPr>
        <w:rPr>
          <w:lang w:val="en-GB"/>
        </w:rPr>
      </w:pPr>
      <w:r w:rsidRPr="00D1417A">
        <w:rPr>
          <w:sz w:val="20"/>
          <w:lang w:val="en-GB"/>
        </w:rPr>
        <w:t>35. Ortegon MM, Redekop WK, Niessen LW. Cost-effectiveness of prevention and treatment of the diabetic foot: a Markov analysis. Diabetes Care. 2004;27(4):901–907. doi:10.2337/diacare.27.4.901</w:t>
      </w:r>
    </w:p>
    <w:p ns2:paraId="11F664E4" ns2:textId="7685600F" w:rsidR="00D47670" w:rsidRPr="00D1417A" w:rsidRDefault="00A02229">
      <w:pPr>
        <w:rPr>
          <w:lang w:val="en-GB"/>
        </w:rPr>
      </w:pPr>
      <w:r w:rsidRPr="00D1417A">
        <w:rPr>
          <w:sz w:val="20"/>
          <w:lang w:val="en-GB"/>
        </w:rPr>
        <w:t>36.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