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Appendix 9b: Werkinstructie plantaire drukmeting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Beide armen worden zo gemeten. In Optimal Care stuurt de meting de aanpassing van de CMFO; in Usual Care is ze geblindeerd (hoofdstuk 10).</w:t>
      </w:r>
    </w:p>
    <w:p>
      <w:r>
        <w:rPr>
          <w:lang w:val="nl-BE"/>
        </w:rPr>
        <w:t>De norm per doelregio: piekdruk mét de CMFO onder 200 kPa, óf minstens 25% lager dan de basismeting van visite 2.</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Gebruik altijd dit palet, voor elke deelnemer en elke visite. Een ander palet geeft dezelfde druk een andere kleur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maand 6, 12 en 18 meet je A opnieuw, maar de 25% reken je altijd tegenover A van visite 2.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drie regio’s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De hiel telt niet mee, tenzij daar de vorige voetzweer zat.</w:t>
      </w:r>
    </w:p>
    <w:p>
      <w:r>
        <w:rPr>
          <w:lang w:val="nl-BE"/>
        </w:rPr>
        <w:t>Regio’s: hiel, mediale middenvoet, laterale middenvoet, metatarsaal 1, metatarsaal 2-3, metatarsaal 4-5, hallux, tenen 2-5. Dezelfde drie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de basismeting van visite 2: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In Usual Care meet en noteer je alles op dezelfde manier, maar je toetst niet aan de norm. Toon het scherm niet aan deelnemer of pedorthist, bespreek de waarden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drie regio’s per voet,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drie doelregio’s, met dezelfde kolommen, en of de druk met 5% of meer gestegen is</w:t>
            </w:r>
          </w:p>
        </w:tc>
      </w:tr>
      <w:tr>
        <w:tc>
          <w:tcPr>
            <w:tcW w:type="dxa" w:w="1247"/>
          </w:tcPr>
          <w:p>
            <w:r>
              <w:rPr>
                <w:sz w:val="20"/>
                <w:lang w:val="nl-BE"/>
              </w:rPr>
              <w:t>6</w:t>
            </w:r>
          </w:p>
        </w:tc>
        <w:tc>
          <w:tcPr>
            <w:tcW w:type="dxa" w:w="7540"/>
          </w:tcPr>
          <w:p>
            <w:r>
              <w:rPr>
                <w:sz w:val="20"/>
                <w:lang w:val="nl-BE"/>
              </w:rPr>
              <w:t>De twee schermafbeeldingen</w:t>
            </w:r>
          </w:p>
        </w:tc>
      </w:tr>
    </w:tbl>
    <w:p/>
    <w:p>
      <w:pPr>
        <w:pBdr>
          <w:left w:val="single" w:sz="18" w:space="8" w:color="123A5F"/>
        </w:pBdr>
        <w:spacing w:before="120" w:after="120"/>
        <w:ind w:left="425"/>
      </w:pPr>
      <w:r>
        <w:rPr>
          <w:b/>
          <w:color w:val="123A5F"/>
          <w:sz w:val="20"/>
          <w:lang w:val="nl-BE"/>
        </w:rPr>
        <w:t xml:space="preserve">■ CONTROLEER  </w:t>
      </w:r>
      <w:r>
        <w:rPr>
          <w:b/>
          <w:lang w:val="nl-BE"/>
        </w:rPr>
        <w:t>Kolom D in blok 4 en 5 is de referentie: de piekdruk zonder zool op visite 2. Op visite 2 is dat dezelfde waarde als kolom E; op maand 6, 12 en 18 neem je ze over uit eCRF 24b.</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1.4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