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271 velden over 40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Vijftien events per arm, dertig in totaal. De offsets zijn dagen ten opzichte van visite 1, de baseline; die is dus het anker. Je voert ze niet met de hand in — events_import.csv bevat ze allemaal. De offsets hieronder zijn documentatie, tenzij je de schedulingmodule aanzet.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 xml:space="preserve">REDCap leidt de unieke eventnaam af uit het label. De labels hierboven zijn kort gehouden zodat die afleiding voorspelbaar is: “Visite 1” wordt visite_1_arm_1. </w:t>
      </w:r>
      <w:r>
        <w:rPr>
          <w:rFonts w:ascii="Segoe UI" w:hAnsi="Segoe UI" w:eastAsia="Segoe UI"/>
          <w:b/>
          <w:i w:val="0"/>
          <w:color w:val="1B2630"/>
          <w:sz w:val="19"/>
        </w:rPr>
        <w:t>Controleer na het aanmaken of de gegenereerde namen overeenkomen met de kolom unique_event_name in events.csv</w:t>
      </w:r>
      <w:r>
        <w:rPr>
          <w:rFonts w:ascii="Segoe UI" w:hAnsi="Segoe UI" w:eastAsia="Segoe UI"/>
          <w:b w:val="0"/>
          <w:i w:val="0"/>
          <w:color w:val="1B2630"/>
          <w:sz w:val="19"/>
        </w:rPr>
        <w:t>,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Stap voor stap, en waar je veilig fouten maakt</w:t>
      </w:r>
    </w:p>
    <w:p>
      <w:pPr>
        <w:spacing w:before="0" w:after="80"/>
      </w:pPr>
      <w:r>
        <w:rPr>
          <w:rFonts w:ascii="Segoe UI" w:hAnsi="Segoe UI" w:eastAsia="Segoe UI"/>
          <w:b w:val="0"/>
          <w:i w:val="0"/>
          <w:color w:val="1B2630"/>
          <w:sz w:val="19"/>
        </w:rPr>
        <w:t xml:space="preserve">Een nieuw REDCap-project staat in </w:t>
      </w:r>
      <w:r>
        <w:rPr>
          <w:rFonts w:ascii="Segoe UI" w:hAnsi="Segoe UI" w:eastAsia="Segoe UI"/>
          <w:b/>
          <w:i w:val="0"/>
          <w:color w:val="1B2630"/>
          <w:sz w:val="19"/>
        </w:rPr>
        <w:t>Development</w:t>
      </w:r>
      <w:r>
        <w:rPr>
          <w:rFonts w:ascii="Segoe UI" w:hAnsi="Segoe UI" w:eastAsia="Segoe UI"/>
          <w:b w:val="0"/>
          <w:i w:val="0"/>
          <w:color w:val="1B2630"/>
          <w:sz w:val="19"/>
        </w:rPr>
        <w: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p>
      <w:pPr>
        <w:keepNext/>
        <w:spacing w:before="160" w:after="40"/>
      </w:pPr>
      <w:r>
        <w:rPr>
          <w:rFonts w:ascii="Segoe UI" w:hAnsi="Segoe UI" w:eastAsia="Segoe UI"/>
          <w:b/>
          <w:i w:val="0"/>
          <w:color w:val="00407A"/>
          <w:sz w:val="19"/>
        </w:rPr>
        <w:t>Stap 1 — Project aanmaken</w:t>
      </w:r>
    </w:p>
    <w:p>
      <w:pPr>
        <w:spacing w:before="0" w:after="80"/>
      </w:pPr>
      <w:r>
        <w:rPr>
          <w:rFonts w:ascii="Segoe UI" w:hAnsi="Segoe UI" w:eastAsia="Segoe UI"/>
          <w:b w:val="0"/>
          <w:i w:val="0"/>
          <w:color w:val="1B2630"/>
          <w:sz w:val="19"/>
        </w:rPr>
        <w:t>My Projects, dan New Project. Titel: PARADISE — S71769. Purpose: Research. Kies “Create an empty project (blank slate)”. Nog niets anders instellen.</w:t>
      </w:r>
    </w:p>
    <w:p>
      <w:pPr>
        <w:keepNext/>
        <w:spacing w:before="160" w:after="40"/>
      </w:pPr>
      <w:r>
        <w:rPr>
          <w:rFonts w:ascii="Segoe UI" w:hAnsi="Segoe UI" w:eastAsia="Segoe UI"/>
          <w:b/>
          <w:i w:val="0"/>
          <w:color w:val="00407A"/>
          <w:sz w:val="19"/>
        </w:rPr>
        <w:t>Stap 2 — Longitudinaal en herhalend aanzetten</w:t>
      </w:r>
    </w:p>
    <w:p>
      <w:pPr>
        <w:spacing w:before="0" w:after="80"/>
      </w:pPr>
      <w:r>
        <w:rPr>
          <w:rFonts w:ascii="Segoe UI" w:hAnsi="Segoe UI" w:eastAsia="Segoe UI"/>
          <w:b w:val="0"/>
          <w:i w:val="0"/>
          <w:color w:val="1B2630"/>
          <w:sz w:val="19"/>
        </w:rPr>
        <w:t xml:space="preserve">Op de pagina Project Setup, onder Main project settings, zet je </w:t>
      </w:r>
      <w:r>
        <w:rPr>
          <w:rFonts w:ascii="Segoe UI" w:hAnsi="Segoe UI" w:eastAsia="Segoe UI"/>
          <w:b/>
          <w:i w:val="0"/>
          <w:color w:val="1B2630"/>
          <w:sz w:val="19"/>
        </w:rPr>
        <w:t>Use longitudinal data collection with defined events</w:t>
      </w:r>
      <w:r>
        <w:rPr>
          <w:rFonts w:ascii="Segoe UI" w:hAnsi="Segoe UI" w:eastAsia="Segoe UI"/>
          <w:b w:val="0"/>
          <w:i w:val="0"/>
          <w:color w:val="1B2630"/>
          <w:sz w:val="19"/>
        </w:rPr>
        <w:t xml:space="preserve"> op Enable. Zet daar ook </w:t>
      </w:r>
      <w:r>
        <w:rPr>
          <w:rFonts w:ascii="Segoe UI" w:hAnsi="Segoe UI" w:eastAsia="Segoe UI"/>
          <w:b/>
          <w:i w:val="0"/>
          <w:color w:val="1B2630"/>
          <w:sz w:val="19"/>
        </w:rPr>
        <w:t>Repeatable instruments and events</w:t>
      </w:r>
      <w:r>
        <w:rPr>
          <w:rFonts w:ascii="Segoe UI" w:hAnsi="Segoe UI" w:eastAsia="Segoe UI"/>
          <w:b w:val="0"/>
          <w:i w:val="0"/>
          <w:color w:val="1B2630"/>
          <w:sz w:val="19"/>
        </w:rPr>
        <w:t xml:space="preserve"> op Enable. Beide zijn nodig voordat je verder kunt.</w:t>
      </w:r>
    </w:p>
    <w:p>
      <w:pPr>
        <w:keepNext/>
        <w:spacing w:before="160" w:after="40"/>
      </w:pPr>
      <w:r>
        <w:rPr>
          <w:rFonts w:ascii="Segoe UI" w:hAnsi="Segoe UI" w:eastAsia="Segoe UI"/>
          <w:b/>
          <w:i w:val="0"/>
          <w:color w:val="00407A"/>
          <w:sz w:val="19"/>
        </w:rPr>
        <w:t>Stap 3 — De twee armen</w:t>
      </w:r>
    </w:p>
    <w:p>
      <w:pPr>
        <w:spacing w:before="0" w:after="80"/>
      </w:pPr>
      <w:r>
        <w:rPr>
          <w:rFonts w:ascii="Segoe UI" w:hAnsi="Segoe UI" w:eastAsia="Segoe UI"/>
          <w:b w:val="0"/>
          <w:i w:val="0"/>
          <w:color w:val="1B2630"/>
          <w:sz w:val="19"/>
        </w:rPr>
        <w:t xml:space="preserve">Klik Define My Events. Arm 1 bestaat al; hernoem die naar </w:t>
      </w:r>
      <w:r>
        <w:rPr>
          <w:rFonts w:ascii="Segoe UI" w:hAnsi="Segoe UI" w:eastAsia="Segoe UI"/>
          <w:b/>
          <w:i w:val="0"/>
          <w:color w:val="1B2630"/>
          <w:sz w:val="19"/>
        </w:rPr>
        <w:t>Usual Care</w:t>
      </w:r>
      <w:r>
        <w:rPr>
          <w:rFonts w:ascii="Segoe UI" w:hAnsi="Segoe UI" w:eastAsia="Segoe UI"/>
          <w:b w:val="0"/>
          <w:i w:val="0"/>
          <w:color w:val="1B2630"/>
          <w:sz w:val="19"/>
        </w:rPr>
        <w:t xml:space="preserve">. Voeg met Add New Arm een tweede toe: </w:t>
      </w:r>
      <w:r>
        <w:rPr>
          <w:rFonts w:ascii="Segoe UI" w:hAnsi="Segoe UI" w:eastAsia="Segoe UI"/>
          <w:b/>
          <w:i w:val="0"/>
          <w:color w:val="1B2630"/>
          <w:sz w:val="19"/>
        </w:rPr>
        <w:t>Optimal Care</w:t>
      </w:r>
      <w:r>
        <w:rPr>
          <w:rFonts w:ascii="Segoe UI" w:hAnsi="Segoe UI" w:eastAsia="Segoe UI"/>
          <w:b w:val="0"/>
          <w:i w:val="0"/>
          <w:color w:val="1B2630"/>
          <w:sz w:val="19"/>
        </w:rPr>
        <w:t>. De bezoekmomenten zijn in beide armen identiek; alleen de instrumenten verschillen.</w:t>
      </w:r>
    </w:p>
    <w:p>
      <w:pPr>
        <w:keepNext/>
        <w:spacing w:before="160" w:after="40"/>
      </w:pPr>
      <w:r>
        <w:rPr>
          <w:rFonts w:ascii="Segoe UI" w:hAnsi="Segoe UI" w:eastAsia="Segoe UI"/>
          <w:b/>
          <w:i w:val="0"/>
          <w:color w:val="00407A"/>
          <w:sz w:val="19"/>
        </w:rPr>
        <w:t>Stap 4 — De dertig events importeren</w:t>
      </w:r>
    </w:p>
    <w:p>
      <w:pPr>
        <w:spacing w:before="0" w:after="80"/>
      </w:pPr>
      <w:r>
        <w:rPr>
          <w:rFonts w:ascii="Segoe UI" w:hAnsi="Segoe UI" w:eastAsia="Segoe UI"/>
          <w:b w:val="0"/>
          <w:i w:val="0"/>
          <w:color w:val="1B2630"/>
          <w:sz w:val="19"/>
        </w:rPr>
        <w:t xml:space="preserve">Op Define My Events staat een uploadmogelijkheid — dezelfde plek waar je een sjabloon kunt downloaden. Kies </w:t>
      </w:r>
      <w:r>
        <w:rPr>
          <w:rFonts w:ascii="Segoe UI" w:hAnsi="Segoe UI" w:eastAsia="Segoe UI"/>
          <w:b/>
          <w:i w:val="0"/>
          <w:color w:val="1B2630"/>
          <w:sz w:val="19"/>
        </w:rPr>
        <w:t>events_import.csv</w:t>
      </w:r>
      <w:r>
        <w:rPr>
          <w:rFonts w:ascii="Segoe UI" w:hAnsi="Segoe UI" w:eastAsia="Segoe UI"/>
          <w:b w:val="0"/>
          <w:i w:val="0"/>
          <w:color w:val="1B2630"/>
          <w:sz w:val="19"/>
        </w:rPr>
        <w:t>. Dat bestand staat in het formaat dat REDCap zelf exporteert, met de vier kolommen event_name, arm_num, unique_event_name en custom_event_label, en bevat de vijftien events voor beide armen.</w:t>
      </w:r>
    </w:p>
    <w:p>
      <w:pPr>
        <w:spacing w:before="0" w:after="80"/>
      </w:pPr>
      <w:r>
        <w:rPr>
          <w:rFonts w:ascii="Segoe UI" w:hAnsi="Segoe UI" w:eastAsia="Segoe UI"/>
          <w:b w:val="0"/>
          <w:i w:val="0"/>
          <w:color w:val="5A6A78"/>
          <w:sz w:val="17"/>
        </w:rPr>
        <w:t>De dagoffsets staan er niet in. Die kolommen verschijnen alleen als de schedulingmodule aan staat; heb je die nodig, download dan eerst een vers sjabloon uit je eigen project en vul de offsets uit sectie 5 aan. Zonder schedulingmodule zijn ze documentatie.</w:t>
      </w:r>
    </w:p>
    <w:p>
      <w:pPr>
        <w:keepNext/>
        <w:spacing w:before="160" w:after="40"/>
      </w:pPr>
      <w:r>
        <w:rPr>
          <w:rFonts w:ascii="Segoe UI" w:hAnsi="Segoe UI" w:eastAsia="Segoe UI"/>
          <w:b/>
          <w:i w:val="0"/>
          <w:color w:val="00407A"/>
          <w:sz w:val="19"/>
        </w:rPr>
        <w:t>Stap 5 — De namen nakijken</w:t>
      </w:r>
    </w:p>
    <w:p>
      <w:pPr>
        <w:spacing w:before="0" w:after="80"/>
      </w:pPr>
      <w:r>
        <w:rPr>
          <w:rFonts w:ascii="Segoe UI" w:hAnsi="Segoe UI" w:eastAsia="Segoe UI"/>
          <w:b w:val="0"/>
          <w:i w:val="0"/>
          <w:color w:val="1B2630"/>
          <w:sz w:val="19"/>
        </w:rPr>
        <w:t xml:space="preserve">REDCap leidt de unieke eventnaam af uit het label: kleine letters, elk niet-alfanumeriek teken wordt een underscore, en de naam wordt </w:t>
      </w:r>
      <w:r>
        <w:rPr>
          <w:rFonts w:ascii="Segoe UI" w:hAnsi="Segoe UI" w:eastAsia="Segoe UI"/>
          <w:b/>
          <w:i w:val="0"/>
          <w:color w:val="1B2630"/>
          <w:sz w:val="19"/>
        </w:rPr>
        <w:t>afgekapt op achttien tekens</w:t>
      </w:r>
      <w:r>
        <w:rPr>
          <w:rFonts w:ascii="Segoe UI" w:hAnsi="Segoe UI" w:eastAsia="Segoe UI"/>
          <w:b w:val="0"/>
          <w:i w:val="0"/>
          <w:color w:val="1B2630"/>
          <w:sz w:val="19"/>
        </w:rPr>
        <w:t xml:space="preserve"> voordat _arm_1 of _arm_2 erachter komt. Die regel is afgeleid uit je eigen REDCap-export en klopt op alle zeven voorbeelden daarin — “Concomitant medication” wordt concomitant_medica_arm_1.</w:t>
      </w:r>
    </w:p>
    <w:p>
      <w:pPr>
        <w:spacing w:before="0" w:after="80"/>
      </w:pPr>
      <w:r>
        <w:rPr>
          <w:rFonts w:ascii="Segoe UI" w:hAnsi="Segoe UI" w:eastAsia="Segoe UI"/>
          <w:b w:val="0"/>
          <w:i w:val="0"/>
          <w:color w:val="1B2630"/>
          <w:sz w:val="19"/>
        </w:rPr>
        <w:t>Alle vijftien labels blijven ruim onder die achttien tekens, dus er wordt niets afgekapt en er ontstaan geen dubbele namen. Vergelijk na de import toch even wat REDCap toont met de kolom unique_event_name: wijkt er één af, pas dan het mappingbestand aan vóór stap 8. Een instrument dat op het verkeerde event belandt, valt later niet meer op.</w:t>
      </w:r>
    </w:p>
    <w:p>
      <w:pPr>
        <w:keepNext/>
        <w:spacing w:before="160" w:after="40"/>
      </w:pPr>
      <w:r>
        <w:rPr>
          <w:rFonts w:ascii="Segoe UI" w:hAnsi="Segoe UI" w:eastAsia="Segoe UI"/>
          <w:b/>
          <w:i w:val="0"/>
          <w:color w:val="00407A"/>
          <w:sz w:val="19"/>
        </w:rPr>
        <w:t>Stap 6 — De vier herhalende events</w:t>
      </w:r>
    </w:p>
    <w:p>
      <w:pPr>
        <w:spacing w:before="0" w:after="80"/>
      </w:pPr>
      <w:r>
        <w:rPr>
          <w:rFonts w:ascii="Segoe UI" w:hAnsi="Segoe UI" w:eastAsia="Segoe UI"/>
          <w:b w:val="0"/>
          <w:i w:val="0"/>
          <w:color w:val="1B2630"/>
          <w:sz w:val="19"/>
        </w:rPr>
        <w:t xml:space="preserve">Op Project Setup, bij Repeatable instruments and events, klik Modify. Zet </w:t>
      </w:r>
      <w:r>
        <w:rPr>
          <w:rFonts w:ascii="Segoe UI" w:hAnsi="Segoe UI" w:eastAsia="Segoe UI"/>
          <w:b/>
          <w:i w:val="0"/>
          <w:color w:val="1B2630"/>
          <w:sz w:val="19"/>
        </w:rPr>
        <w:t>Dagboek</w:t>
      </w:r>
      <w:r>
        <w:rPr>
          <w:rFonts w:ascii="Segoe UI" w:hAnsi="Segoe UI" w:eastAsia="Segoe UI"/>
          <w:b w:val="0"/>
          <w:i w:val="0"/>
          <w:color w:val="1B2630"/>
          <w:sz w:val="19"/>
        </w:rPr>
        <w:t xml:space="preserve">, </w:t>
      </w:r>
      <w:r>
        <w:rPr>
          <w:rFonts w:ascii="Segoe UI" w:hAnsi="Segoe UI" w:eastAsia="Segoe UI"/>
          <w:b/>
          <w:i w:val="0"/>
          <w:color w:val="1B2630"/>
          <w:sz w:val="19"/>
        </w:rPr>
        <w:t>Ulcus</w:t>
      </w:r>
      <w:r>
        <w:rPr>
          <w:rFonts w:ascii="Segoe UI" w:hAnsi="Segoe UI" w:eastAsia="Segoe UI"/>
          <w:b w:val="0"/>
          <w:i w:val="0"/>
          <w:color w:val="1B2630"/>
          <w:sz w:val="19"/>
        </w:rPr>
        <w:t xml:space="preserve">, </w:t>
      </w:r>
      <w:r>
        <w:rPr>
          <w:rFonts w:ascii="Segoe UI" w:hAnsi="Segoe UI" w:eastAsia="Segoe UI"/>
          <w:b/>
          <w:i w:val="0"/>
          <w:color w:val="1B2630"/>
          <w:sz w:val="19"/>
        </w:rPr>
        <w:t>AE SAE</w:t>
      </w:r>
      <w:r>
        <w:rPr>
          <w:rFonts w:ascii="Segoe UI" w:hAnsi="Segoe UI" w:eastAsia="Segoe UI"/>
          <w:b w:val="0"/>
          <w:i w:val="0"/>
          <w:color w:val="1B2630"/>
          <w:sz w:val="19"/>
        </w:rPr>
        <w:t xml:space="preserve"> en </w:t>
      </w:r>
      <w:r>
        <w:rPr>
          <w:rFonts w:ascii="Segoe UI" w:hAnsi="Segoe UI" w:eastAsia="Segoe UI"/>
          <w:b/>
          <w:i w:val="0"/>
          <w:color w:val="1B2630"/>
          <w:sz w:val="19"/>
        </w:rPr>
        <w:t>Deviatie</w:t>
      </w:r>
      <w:r>
        <w:rPr>
          <w:rFonts w:ascii="Segoe UI" w:hAnsi="Segoe UI" w:eastAsia="Segoe UI"/>
          <w:b w:val="0"/>
          <w:i w:val="0"/>
          <w:color w:val="1B2630"/>
          <w:sz w:val="19"/>
        </w:rPr>
        <w:t xml:space="preserve"> op </w:t>
      </w:r>
      <w:r>
        <w:rPr>
          <w:rFonts w:ascii="Segoe UI" w:hAnsi="Segoe UI" w:eastAsia="Segoe UI"/>
          <w:b/>
          <w:i w:val="0"/>
          <w:color w:val="1B2630"/>
          <w:sz w:val="19"/>
        </w:rPr>
        <w:t>Repeat Entire Event</w:t>
      </w:r>
      <w:r>
        <w:rPr>
          <w:rFonts w:ascii="Segoe UI" w:hAnsi="Segoe UI" w:eastAsia="Segoe UI"/>
          <w:b w:val="0"/>
          <w:i w:val="0"/>
          <w:color w:val="1B2630"/>
          <w:sz w:val="19"/>
        </w:rPr>
        <w:t>, in beide armen. Dat kan nu al: daarvoor hoeven de instrumenten nog niet te bestaan.</w:t>
      </w:r>
    </w:p>
    <w:p>
      <w:pPr>
        <w:spacing w:before="0" w:after="80"/>
      </w:pPr>
      <w:r>
        <w:rPr>
          <w:rFonts w:ascii="Segoe UI" w:hAnsi="Segoe UI" w:eastAsia="Segoe UI"/>
          <w:b w:val="0"/>
          <w:i w:val="0"/>
          <w:color w:val="5A6A78"/>
          <w:sz w:val="17"/>
        </w:rPr>
        <w:t>Laat de bezoek-events op “not repeating” staan. Daar komt in stap 9 iets anders: niet het hele event herhaalt, maar één instrument erbinnen.</w:t>
      </w:r>
    </w:p>
    <w:p>
      <w:pPr>
        <w:keepNext/>
        <w:spacing w:before="160" w:after="40"/>
      </w:pPr>
      <w:r>
        <w:rPr>
          <w:rFonts w:ascii="Segoe UI" w:hAnsi="Segoe UI" w:eastAsia="Segoe UI"/>
          <w:b/>
          <w:i w:val="0"/>
          <w:color w:val="00407A"/>
          <w:sz w:val="19"/>
        </w:rPr>
        <w:t>Stap 7 — De data dictionary importeren</w:t>
      </w:r>
    </w:p>
    <w:p>
      <w:pPr>
        <w:spacing w:before="0" w:after="80"/>
      </w:pPr>
      <w:r>
        <w:rPr>
          <w:rFonts w:ascii="Segoe UI" w:hAnsi="Segoe UI" w:eastAsia="Segoe UI"/>
          <w:b w:val="0"/>
          <w:i w:val="0"/>
          <w:color w:val="1B2630"/>
          <w:sz w:val="19"/>
        </w:rPr>
        <w:t xml:space="preserve">Online Designer, tabblad Data Dictionary, dan Upload. Kies </w:t>
      </w:r>
      <w:r>
        <w:rPr>
          <w:rFonts w:ascii="Segoe UI" w:hAnsi="Segoe UI" w:eastAsia="Segoe UI"/>
          <w:b/>
          <w:i w:val="0"/>
          <w:color w:val="1B2630"/>
          <w:sz w:val="19"/>
        </w:rPr>
        <w:t>data_dictionary_PARADISE.csv</w:t>
      </w:r>
      <w:r>
        <w:rPr>
          <w:rFonts w:ascii="Segoe UI" w:hAnsi="Segoe UI" w:eastAsia="Segoe UI"/>
          <w:b w:val="0"/>
          <w:i w:val="0"/>
          <w:color w:val="1B2630"/>
          <w:sz w:val="19"/>
        </w:rPr>
        <w:t>. REDCap toont eerst een overzicht van wat er gaat veranderen; lees dat en bevestig. Let op: een dictionary-upload vervangt álle instrumenten, dus doe dit vóór je met de hand iets aanpast.</w:t>
      </w:r>
    </w:p>
    <w:p>
      <w:pPr>
        <w:keepNext/>
        <w:spacing w:before="160" w:after="40"/>
      </w:pPr>
      <w:r>
        <w:rPr>
          <w:rFonts w:ascii="Segoe UI" w:hAnsi="Segoe UI" w:eastAsia="Segoe UI"/>
          <w:b/>
          <w:i w:val="0"/>
          <w:color w:val="00407A"/>
          <w:sz w:val="19"/>
        </w:rPr>
        <w:t>Stap 8 — De mapping importeren</w:t>
      </w:r>
    </w:p>
    <w:p>
      <w:pPr>
        <w:spacing w:before="0" w:after="80"/>
      </w:pPr>
      <w:r>
        <w:rPr>
          <w:rFonts w:ascii="Segoe UI" w:hAnsi="Segoe UI" w:eastAsia="Segoe UI"/>
          <w:b w:val="0"/>
          <w:i w:val="0"/>
          <w:color w:val="1B2630"/>
          <w:sz w:val="19"/>
        </w:rPr>
        <w:t xml:space="preserve">Designate Instruments for My Events, dan de knop om een mapping te uploaden. Kies </w:t>
      </w:r>
      <w:r>
        <w:rPr>
          <w:rFonts w:ascii="Segoe UI" w:hAnsi="Segoe UI" w:eastAsia="Segoe UI"/>
          <w:b/>
          <w:i w:val="0"/>
          <w:color w:val="1B2630"/>
          <w:sz w:val="19"/>
        </w:rPr>
        <w:t>instrument_event_mapping.csv</w:t>
      </w:r>
      <w:r>
        <w:rPr>
          <w:rFonts w:ascii="Segoe UI" w:hAnsi="Segoe UI" w:eastAsia="Segoe UI"/>
          <w:b w:val="0"/>
          <w:i w:val="0"/>
          <w:color w:val="1B2630"/>
          <w:sz w:val="19"/>
        </w:rPr>
        <w:t>. Vanaf hier staat het skelet: je kunt door de events klikken en per arm zien wat waar hoort.</w:t>
      </w:r>
    </w:p>
    <w:p>
      <w:pPr>
        <w:keepNext/>
        <w:spacing w:before="160" w:after="40"/>
      </w:pPr>
      <w:r>
        <w:rPr>
          <w:rFonts w:ascii="Segoe UI" w:hAnsi="Segoe UI" w:eastAsia="Segoe UI"/>
          <w:b/>
          <w:i w:val="0"/>
          <w:color w:val="00407A"/>
          <w:sz w:val="19"/>
        </w:rPr>
        <w:t>Stap 9 — Nu pas: concomitant_therapy herhalend maken</w:t>
      </w:r>
    </w:p>
    <w:p>
      <w:pPr>
        <w:spacing w:before="0" w:after="80"/>
      </w:pPr>
      <w:r>
        <w:rPr>
          <w:rFonts w:ascii="Segoe UI" w:hAnsi="Segoe UI" w:eastAsia="Segoe UI"/>
          <w:b w:val="0"/>
          <w:i w:val="0"/>
          <w:color w:val="1B2630"/>
          <w:sz w:val="19"/>
        </w:rPr>
        <w:t xml:space="preserve">Terug naar Repeatable instruments and events. Zet de acht bezoek-events — Visite 1 tot Visite 8 — op </w:t>
      </w:r>
      <w:r>
        <w:rPr>
          <w:rFonts w:ascii="Segoe UI" w:hAnsi="Segoe UI" w:eastAsia="Segoe UI"/>
          <w:b/>
          <w:i w:val="0"/>
          <w:color w:val="1B2630"/>
          <w:sz w:val="19"/>
        </w:rPr>
        <w:t>Repeat Instruments</w:t>
      </w:r>
      <w:r>
        <w:rPr>
          <w:rFonts w:ascii="Segoe UI" w:hAnsi="Segoe UI" w:eastAsia="Segoe UI"/>
          <w:b w:val="0"/>
          <w:i w:val="0"/>
          <w:color w:val="1B2630"/>
          <w:sz w:val="19"/>
        </w:rPr>
        <w:t xml:space="preserve">, en vink daar </w:t>
      </w:r>
      <w:r>
        <w:rPr>
          <w:rFonts w:ascii="Segoe UI" w:hAnsi="Segoe UI" w:eastAsia="Segoe UI"/>
          <w:b/>
          <w:i w:val="0"/>
          <w:color w:val="1B2630"/>
          <w:sz w:val="19"/>
        </w:rPr>
        <w:t>concomitant_therapy</w:t>
      </w:r>
      <w:r>
        <w:rPr>
          <w:rFonts w:ascii="Segoe UI" w:hAnsi="Segoe UI" w:eastAsia="Segoe UI"/>
          <w:b w:val="0"/>
          <w:i w:val="0"/>
          <w:color w:val="1B2630"/>
          <w:sz w:val="19"/>
        </w:rPr>
        <w:t xml:space="preserve"> aan. In beide armen.</w:t>
      </w:r>
    </w:p>
    <w:p>
      <w:pPr>
        <w:spacing w:before="0" w:after="80"/>
      </w:pPr>
      <w:r>
        <w:rPr>
          <w:rFonts w:ascii="Segoe UI" w:hAnsi="Segoe UI" w:eastAsia="Segoe UI"/>
          <w:b w:val="0"/>
          <w:i w:val="0"/>
          <w:color w:val="5A6A78"/>
          <w:sz w:val="17"/>
        </w:rPr>
        <w:t>Dit kon in stap 6 nog niet. Die kolom toont alleen instrumenten die al aan dat event zijn toegewezen, en dat gebeurt pas bij de mapping in stap 8. Het is ook geen keuze: het veld contx_total rekent met [last-instance] en levert zonder deze instelling niets op.</w:t>
      </w:r>
    </w:p>
    <w:p>
      <w:pPr>
        <w:keepNext/>
        <w:spacing w:before="160" w:after="40"/>
      </w:pPr>
      <w:r>
        <w:rPr>
          <w:rFonts w:ascii="Segoe UI" w:hAnsi="Segoe UI" w:eastAsia="Segoe UI"/>
          <w:b/>
          <w:i w:val="0"/>
          <w:color w:val="00407A"/>
          <w:sz w:val="19"/>
        </w:rPr>
        <w:t>Stap 10 — Toegangsgroepen</w:t>
      </w:r>
    </w:p>
    <w:p>
      <w:pPr>
        <w:spacing w:before="0" w:after="80"/>
      </w:pPr>
      <w:r>
        <w:rPr>
          <w:rFonts w:ascii="Segoe UI" w:hAnsi="Segoe UI" w:eastAsia="Segoe UI"/>
          <w:b w:val="0"/>
          <w:i w:val="0"/>
          <w:color w:val="1B2630"/>
          <w:sz w:val="19"/>
        </w:rPr>
        <w:t>User Rights, dan Data Access Groups. Maak er zes aan met de codes uit sectie 3: SJB, AZG, UZG, AZO, UZA en UZL.</w:t>
      </w:r>
    </w:p>
    <w:p>
      <w:pPr>
        <w:keepNext/>
        <w:spacing w:before="160" w:after="40"/>
      </w:pPr>
      <w:r>
        <w:rPr>
          <w:rFonts w:ascii="Segoe UI" w:hAnsi="Segoe UI" w:eastAsia="Segoe UI"/>
          <w:b/>
          <w:i w:val="0"/>
          <w:color w:val="00407A"/>
          <w:sz w:val="19"/>
        </w:rPr>
        <w:t>Stap 11 — Gebruikersrechten</w:t>
      </w:r>
    </w:p>
    <w:p>
      <w:pPr>
        <w:spacing w:before="0" w:after="80"/>
      </w:pPr>
      <w:r>
        <w:rPr>
          <w:rFonts w:ascii="Segoe UI" w:hAnsi="Segoe UI" w:eastAsia="Segoe UI"/>
          <w:b w:val="0"/>
          <w:i w:val="0"/>
          <w:color w:val="1B2630"/>
          <w:sz w:val="19"/>
        </w:rPr>
        <w:t>Nog steeds bij User Rights. Alleen het studieteam krijgt invoerrechten; de centra voeren niets in. Geef jezelf en de mede-invoerders rechten op data-invoer en export, en beperk wie het projectontwerp mag wijzigen.</w:t>
      </w:r>
    </w:p>
    <w:p>
      <w:pPr>
        <w:keepNext/>
        <w:spacing w:before="160" w:after="40"/>
      </w:pPr>
      <w:r>
        <w:rPr>
          <w:rFonts w:ascii="Segoe UI" w:hAnsi="Segoe UI" w:eastAsia="Segoe UI"/>
          <w:b/>
          <w:i w:val="0"/>
          <w:color w:val="00407A"/>
          <w:sz w:val="19"/>
        </w:rPr>
        <w:t>Stap 12 — Niets meer: de velden staan er al</w:t>
      </w:r>
    </w:p>
    <w:p>
      <w:pPr>
        <w:spacing w:before="0" w:after="80"/>
      </w:pPr>
      <w:r>
        <w:rPr>
          <w:rFonts w:ascii="Segoe UI" w:hAnsi="Segoe UI" w:eastAsia="Segoe UI"/>
          <w:b w:val="0"/>
          <w:i w:val="0"/>
          <w:color w:val="1B2630"/>
          <w:sz w:val="19"/>
        </w:rPr>
        <w:t>De veertig formulieren zijn volledig gebouwd, samen 1449 velden. De data dictionary die je bij stap 7 importeert bevat dus al de inhoud van elk eCRF; er blijft geen enkel formulier over waar je met de hand velden in moet zetten. Wat je hier nog doet is kijken of de formulieren eruitzien zoals je ze verwacht, en waar nodig de volgorde of een sectiekop bijschaven in de Online Designer.</w:t>
      </w:r>
    </w:p>
    <w:p>
      <w:pPr>
        <w:keepNext/>
        <w:spacing w:before="160" w:after="40"/>
      </w:pPr>
      <w:r>
        <w:rPr>
          <w:rFonts w:ascii="Segoe UI" w:hAnsi="Segoe UI" w:eastAsia="Segoe UI"/>
          <w:b/>
          <w:i w:val="0"/>
          <w:color w:val="00407A"/>
          <w:sz w:val="19"/>
        </w:rPr>
        <w:t>Stap 13 — Acceptatietest</w:t>
      </w:r>
    </w:p>
    <w:p>
      <w:pPr>
        <w:spacing w:before="0" w:after="80"/>
      </w:pPr>
      <w:r>
        <w:rPr>
          <w:rFonts w:ascii="Segoe UI" w:hAnsi="Segoe UI" w:eastAsia="Segoe UI"/>
          <w:b w:val="0"/>
          <w:i w:val="0"/>
          <w:color w:val="1B2630"/>
          <w:sz w:val="19"/>
        </w:rPr>
        <w:t>Maak per arm één testdeelnemer aan en loop het volledige schema door: klopt wat er per event verschijnt, werkt de branching, vallen de armspecifieke formulieren op de juiste plaats. Noteer wat je aanpast.</w:t>
      </w:r>
    </w:p>
    <w:p>
      <w:pPr>
        <w:keepNext/>
        <w:spacing w:before="160" w:after="40"/>
      </w:pPr>
      <w:r>
        <w:rPr>
          <w:rFonts w:ascii="Segoe UI" w:hAnsi="Segoe UI" w:eastAsia="Segoe UI"/>
          <w:b/>
          <w:i w:val="0"/>
          <w:color w:val="00407A"/>
          <w:sz w:val="19"/>
        </w:rPr>
        <w:t>Stap 14 — Naar productie</w:t>
      </w:r>
    </w:p>
    <w:p>
      <w:pPr>
        <w:spacing w:before="0" w:after="80"/>
      </w:pPr>
      <w:r>
        <w:rPr>
          <w:rFonts w:ascii="Segoe UI" w:hAnsi="Segoe UI" w:eastAsia="Segoe UI"/>
          <w:b w:val="0"/>
          <w:i w:val="0"/>
          <w:color w:val="1B2630"/>
          <w:sz w:val="19"/>
        </w:rPr>
        <w:t>Wis eerst alle testdata — REDCap biedt dat aan bij het overzetten. Een testrecord dat blijft staan, telt later mee in je CONSORT-aantallen. Zet dan het project op productie en leg de versie vast in je documentatie.</w:t>
      </w:r>
    </w:p>
    <w:p>
      <w:pPr>
        <w:spacing w:before="0" w:after="80"/>
      </w:pPr>
      <w:r>
        <w:rPr>
          <w:rFonts w:ascii="Segoe UI" w:hAnsi="Segoe UI" w:eastAsia="Segoe UI"/>
          <w:b w:val="0"/>
          <w:i w:val="0"/>
          <w:color w:val="5A6A78"/>
          <w:sz w:val="17"/>
        </w:rPr>
        <w:t>Stap 1 tot 12 kun je nu in één dag doorlopen; er wacht niets meer op een beslissing. Na de acceptatietest van stap 13 kan het project naar productie.</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Nog één ding dat eerst beslist moet worden</w:t>
      </w:r>
    </w:p>
    <w:p>
      <w:pPr>
        <w:spacing w:before="0" w:after="80"/>
      </w:pPr>
      <w:r>
        <w:rPr>
          <w:rFonts w:ascii="Segoe UI" w:hAnsi="Segoe UI" w:eastAsia="Segoe UI"/>
          <w:b w:val="0"/>
          <w:i w:val="0"/>
          <w:color w:val="1B2630"/>
          <w:sz w:val="19"/>
        </w:rPr>
        <w:t xml:space="preserve">Van de drie blokkades die ik eerder opsomde zijn er twee vervallen. Op 22 september bleek dat eCRF 09, 24 en 01 in `(e)CRF/Per nummer/` </w:t>
      </w:r>
      <w:r>
        <w:rPr>
          <w:rFonts w:ascii="Segoe UI" w:hAnsi="Segoe UI" w:eastAsia="Segoe UI"/>
          <w:b/>
          <w:i w:val="0"/>
          <w:color w:val="1B2630"/>
          <w:sz w:val="19"/>
        </w:rPr>
        <w:t>al bijgewerkt waren</w:t>
      </w:r>
      <w:r>
        <w:rPr>
          <w:rFonts w:ascii="Segoe UI" w:hAnsi="Segoe UI" w:eastAsia="Segoe UI"/>
          <w:b w:val="0"/>
          <w:i w:val="0"/>
          <w:color w:val="1B2630"/>
          <w:sz w:val="19"/>
        </w:rPr>
        <w:t>: 09 beschrijft de in-shoe meting zónder de CMFO, 24 vraagt nog twee condities, en 01 telt negen exclusiecriteria met PEDIS graad 3 en immunosuppressie erbij. Het bronnenbestand liep achter op de formulieren, niet omgekeerd.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381"/>
            <w:shd w:val="clear" w:color="auto" w:fill="1D8DB0"/>
          </w:tcPr>
          <w:p>
            <w:pPr>
              <w:spacing w:before="30" w:after="30" w:line="252" w:lineRule="auto"/>
            </w:pPr>
            <w:r/>
            <w:r>
              <w:rPr>
                <w:rFonts w:ascii="Segoe UI" w:hAnsi="Segoe UI" w:eastAsia="Segoe UI"/>
                <w:b/>
                <w:i w:val="0"/>
                <w:color w:val="FFFFFF"/>
                <w:sz w:val="15"/>
              </w:rPr>
              <w:t>Wat</w:t>
            </w:r>
          </w:p>
        </w:tc>
        <w:tc>
          <w:tcPr>
            <w:tcW w:type="dxa" w:w="385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28"/>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381"/>
          </w:tcPr>
          <w:p>
            <w:pPr>
              <w:spacing w:before="30" w:after="30" w:line="252" w:lineRule="auto"/>
            </w:pPr>
            <w:r/>
            <w:r>
              <w:rPr>
                <w:rFonts w:ascii="Segoe UI" w:hAnsi="Segoe UI" w:eastAsia="Segoe UI"/>
                <w:b w:val="0"/>
                <w:i w:val="0"/>
                <w:color w:val="1B2630"/>
                <w:sz w:val="15"/>
              </w:rPr>
              <w:t>Welke eCRF-set is officieel</w:t>
            </w:r>
          </w:p>
        </w:tc>
        <w:tc>
          <w:tcPr>
            <w:tcW w:type="dxa" w:w="3855"/>
          </w:tcPr>
          <w:p>
            <w:pPr>
              <w:spacing w:before="30" w:after="30" w:line="252" w:lineRule="auto"/>
            </w:pPr>
            <w:r/>
            <w:r>
              <w:rPr>
                <w:rFonts w:ascii="Segoe UI" w:hAnsi="Segoe UI" w:eastAsia="Segoe UI"/>
                <w:b w:val="0"/>
                <w:i w:val="0"/>
                <w:color w:val="1B2630"/>
                <w:sz w:val="15"/>
              </w:rPr>
              <w:t>De instrumentnamen en het hele variabelenschema hangen aan de nummering. Er zijn er drie in omloop: `Per nummer/` (Nederlands, 00-48), `Per visite/` (dezelfde documenten, per bezoek gerangschikt) en `Per protocolnaam/` (Engelse bestandsnamen, andere nummering).</w:t>
            </w:r>
          </w:p>
        </w:tc>
        <w:tc>
          <w:tcPr>
            <w:tcW w:type="dxa" w:w="3628"/>
          </w:tcPr>
          <w:p>
            <w:pPr>
              <w:spacing w:before="30" w:after="30" w:line="252" w:lineRule="auto"/>
            </w:pPr>
            <w:r/>
            <w:r>
              <w:rPr>
                <w:rFonts w:ascii="Segoe UI" w:hAnsi="Segoe UI" w:eastAsia="Segoe UI"/>
                <w:b w:val="0"/>
                <w:i w:val="0"/>
                <w:color w:val="1B2630"/>
                <w:sz w:val="15"/>
              </w:rPr>
              <w:t>Eén set als officieel aanduiden. Het skelet volgt `Per nummer/`, want dat bleek de enige actuele set.</w:t>
            </w:r>
          </w:p>
        </w:tc>
      </w:tr>
      <w:tr>
        <w:tc>
          <w:tcPr>
            <w:tcW w:type="dxa" w:w="2381"/>
          </w:tcPr>
          <w:p>
            <w:pPr>
              <w:spacing w:before="30" w:after="30" w:line="252" w:lineRule="auto"/>
            </w:pPr>
            <w:r/>
            <w:r>
              <w:rPr>
                <w:rFonts w:ascii="Segoe UI" w:hAnsi="Segoe UI" w:eastAsia="Segoe UI"/>
                <w:b w:val="0"/>
                <w:i w:val="0"/>
                <w:color w:val="1B2630"/>
                <w:sz w:val="15"/>
              </w:rPr>
              <w:t>De twee andere sets liepen achter</w:t>
            </w:r>
          </w:p>
        </w:tc>
        <w:tc>
          <w:tcPr>
            <w:tcW w:type="dxa" w:w="3855"/>
          </w:tcPr>
          <w:p>
            <w:pPr>
              <w:spacing w:before="30" w:after="30" w:line="252" w:lineRule="auto"/>
            </w:pPr>
            <w:r/>
            <w:r>
              <w:rPr>
                <w:rFonts w:ascii="Segoe UI" w:hAnsi="Segoe UI" w:eastAsia="Segoe UI"/>
                <w:b w:val="0"/>
                <w:i w:val="0"/>
                <w:color w:val="1B2630"/>
                <w:sz w:val="15"/>
              </w:rPr>
              <w:t>Op 22 september droegen `Per visite/` en `Per protocolnaam/` nog de blootsvoetse meting in 09 en 24, en een screeningsformulier zonder PEDIS graad 3, zonder immunosuppressie en zonder de stabiele vaatstatus. Een centrum dat de bezoekmappen volgde, gebruikte dus het verkeerde protocol.</w:t>
            </w:r>
          </w:p>
        </w:tc>
        <w:tc>
          <w:tcPr>
            <w:tcW w:type="dxa" w:w="3628"/>
          </w:tcPr>
          <w:p>
            <w:pPr>
              <w:spacing w:before="30" w:after="30" w:line="252" w:lineRule="auto"/>
            </w:pPr>
            <w:r/>
            <w:r>
              <w:rPr>
                <w:rFonts w:ascii="Segoe UI" w:hAnsi="Segoe UI" w:eastAsia="Segoe UI"/>
                <w:b w:val="0"/>
                <w:i w:val="0"/>
                <w:color w:val="1B2630"/>
                <w:sz w:val="15"/>
              </w:rPr>
              <w:t>`Per visite/` is op 22 september gelijkgezet met `Per nummer/` — zes bestanden. `Per protocolnaam/` is niet aangeraakt: die vraagt eerst de beslissing hierboven.</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 xml:space="preserve">Het protocol zegt “aparte CRF’s per arm” maar benoemt niet welke. Ik heb de scheiding gelegd waar de interventie verschilt. De regel die eruit volgt en die op 22 september bevestigd werd: </w:t>
      </w:r>
      <w:r>
        <w:rPr>
          <w:rFonts w:ascii="Segoe UI" w:hAnsi="Segoe UI" w:eastAsia="Segoe UI"/>
          <w:b/>
          <w:i w:val="0"/>
          <w:color w:val="1B2630"/>
          <w:sz w:val="19"/>
        </w:rPr>
        <w:t>in Usual Care wordt niets teruggekoppeld</w:t>
      </w:r>
      <w:r>
        <w:rPr>
          <w:rFonts w:ascii="Segoe UI" w:hAnsi="Segoe UI" w:eastAsia="Segoe UI"/>
          <w:b w:val="0"/>
          <w:i w:val="0"/>
          <w:color w:val="1B2630"/>
          <w:sz w:val="19"/>
        </w:rPr>
        <w:t>. Er wordt gemeten, maar de uitkomst gaat niet naar de zorgverlener en niet naar de patiënt.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 — bevestigd op 22 september 2026.</w:t>
            </w:r>
          </w:p>
        </w:tc>
        <w:tc>
          <w:tcPr>
            <w:tcW w:type="dxa" w:w="4535"/>
          </w:tcPr>
          <w:p>
            <w:pPr>
              <w:spacing w:before="30" w:after="30" w:line="252" w:lineRule="auto"/>
            </w:pPr>
            <w:r/>
            <w:r>
              <w:rPr>
                <w:rFonts w:ascii="Segoe UI" w:hAnsi="Segoe UI" w:eastAsia="Segoe UI"/>
                <w:b w:val="0"/>
                <w:i w:val="0"/>
                <w:color w:val="1B2630"/>
                <w:sz w:val="15"/>
              </w:rPr>
              <w:t>De terugkoppeling ís de interventie. §9 zet 32 bij visites 3 tot 8 zonder armonderscheid, maar dat is het gemeenschappelijke schema. In Usual Care wordt niets teruggekoppeld: er wordt gemeten, maar de uitkomst gaat niet naar de zorgverlener en niet naar de patiënt.</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ae_sae_form_imd_within_ce_label en device_deficiency_dd_form.</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Wat ik in de CTU-template heb rechtgezet</w:t>
      </w:r>
    </w:p>
    <w:p>
      <w:pPr>
        <w:spacing w:before="0" w:after="80"/>
      </w:pPr>
      <w:r>
        <w:rPr>
          <w:rFonts w:ascii="Segoe UI" w:hAnsi="Segoe UI" w:eastAsia="Segoe UI"/>
          <w:b w:val="0"/>
          <w:i w:val="0"/>
          <w:color w:val="1B2630"/>
          <w:sz w:val="19"/>
        </w:rPr>
        <w:t>De template is generiek en komt uit een ander project. De negen punten hieronder zijn verwerkt in data_dictionary_PARADISE.csv. Het origineel blijft ongemoeid in RedCap Data dictionairy.xlsx, zodat alles terug te vinden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Wat</w:t>
            </w:r>
          </w:p>
        </w:tc>
        <w:tc>
          <w:tcPr>
            <w:tcW w:type="dxa" w:w="3175"/>
            <w:shd w:val="clear" w:color="auto" w:fill="1D8DB0"/>
          </w:tcPr>
          <w:p>
            <w:pPr>
              <w:spacing w:before="30" w:after="30" w:line="252" w:lineRule="auto"/>
            </w:pPr>
            <w:r/>
            <w:r>
              <w:rPr>
                <w:rFonts w:ascii="Segoe UI" w:hAnsi="Segoe UI" w:eastAsia="Segoe UI"/>
                <w:b/>
                <w:i w:val="0"/>
                <w:color w:val="FFFFFF"/>
                <w:sz w:val="15"/>
              </w:rPr>
              <w:t>Waarom</w:t>
            </w:r>
          </w:p>
        </w:tc>
        <w:tc>
          <w:tcPr>
            <w:tcW w:type="dxa" w:w="4422"/>
            <w:shd w:val="clear" w:color="auto" w:fill="1D8DB0"/>
          </w:tcPr>
          <w:p>
            <w:pPr>
              <w:spacing w:before="30" w:after="30" w:line="252" w:lineRule="auto"/>
            </w:pPr>
            <w:r/>
            <w:r>
              <w:rPr>
                <w:rFonts w:ascii="Segoe UI" w:hAnsi="Segoe UI" w:eastAsia="Segoe UI"/>
                <w:b/>
                <w:i w:val="0"/>
                <w:color w:val="FFFFFF"/>
                <w:sz w:val="15"/>
              </w:rPr>
              <w:t>Wat er nu staat</w:t>
            </w:r>
          </w:p>
        </w:tc>
      </w:tr>
      <w:tr>
        <w:tc>
          <w:tcPr>
            <w:tcW w:type="dxa" w:w="2268"/>
          </w:tcPr>
          <w:p>
            <w:pPr>
              <w:spacing w:before="30" w:after="30" w:line="252" w:lineRule="auto"/>
            </w:pPr>
            <w:r/>
            <w:r>
              <w:rPr>
                <w:rFonts w:ascii="Segoe UI" w:hAnsi="Segoe UI" w:eastAsia="Segoe UI"/>
                <w:b w:val="0"/>
                <w:i w:val="0"/>
                <w:color w:val="1B2630"/>
                <w:sz w:val="15"/>
              </w:rPr>
              <w:t>Twee AE/SAE-formulieren van elk 55 velden</w:t>
            </w:r>
          </w:p>
        </w:tc>
        <w:tc>
          <w:tcPr>
            <w:tcW w:type="dxa" w:w="3175"/>
          </w:tcPr>
          <w:p>
            <w:pPr>
              <w:spacing w:before="30" w:after="30" w:line="252" w:lineRule="auto"/>
            </w:pPr>
            <w:r/>
            <w:r>
              <w:rPr>
                <w:rFonts w:ascii="Segoe UI" w:hAnsi="Segoe UI" w:eastAsia="Segoe UI"/>
                <w:b w:val="0"/>
                <w:i w:val="0"/>
                <w:color w:val="1B2630"/>
                <w:sz w:val="15"/>
              </w:rPr>
              <w:t>Er geldt er één, en je eCRF-set heeft er ook maar één: eCRF 46.</w:t>
            </w:r>
          </w:p>
        </w:tc>
        <w:tc>
          <w:tcPr>
            <w:tcW w:type="dxa" w:w="4422"/>
          </w:tcPr>
          <w:p>
            <w:pPr>
              <w:spacing w:before="30" w:after="30" w:line="252" w:lineRule="auto"/>
            </w:pPr>
            <w:r/>
            <w:r>
              <w:rPr>
                <w:rFonts w:ascii="Segoe UI" w:hAnsi="Segoe UI" w:eastAsia="Segoe UI"/>
                <w:b w:val="0"/>
                <w:i w:val="0"/>
                <w:color w:val="1B2630"/>
                <w:sz w:val="15"/>
              </w:rPr>
              <w:t>De variant voor een CE-gemarkeerd hulpmiddel binnen zijn label is behouden, want dat is wat PARADISE gebruikt. Ze bleek inhoudelijk te verschillen van de andere — uitgeschreven ernstdefinities en een attestatie op naam van de PI — en draagt nu de schone variabelenamen van de verwijderde variant. Ze heet ae_sae_form_imd_within_ce_label.</w:t>
            </w:r>
          </w:p>
        </w:tc>
      </w:tr>
      <w:tr>
        <w:tc>
          <w:tcPr>
            <w:tcW w:type="dxa" w:w="2268"/>
          </w:tcPr>
          <w:p>
            <w:pPr>
              <w:spacing w:before="30" w:after="30" w:line="252" w:lineRule="auto"/>
            </w:pPr>
            <w:r/>
            <w:r>
              <w:rPr>
                <w:rFonts w:ascii="Segoe UI" w:hAnsi="Segoe UI" w:eastAsia="Segoe UI"/>
                <w:b w:val="0"/>
                <w:i w:val="0"/>
                <w:color w:val="1B2630"/>
                <w:sz w:val="15"/>
              </w:rPr>
              <w:t>Vier variabelenamen waren 27 tekens</w:t>
            </w:r>
          </w:p>
        </w:tc>
        <w:tc>
          <w:tcPr>
            <w:tcW w:type="dxa" w:w="3175"/>
          </w:tcPr>
          <w:p>
            <w:pPr>
              <w:spacing w:before="30" w:after="30" w:line="252" w:lineRule="auto"/>
            </w:pPr>
            <w:r/>
            <w:r>
              <w:rPr>
                <w:rFonts w:ascii="Segoe UI" w:hAnsi="Segoe UI" w:eastAsia="Segoe UI"/>
                <w:b w:val="0"/>
                <w:i w:val="0"/>
                <w:color w:val="1B2630"/>
                <w:sz w:val="15"/>
              </w:rPr>
              <w:t>REDCap weigert bij de import alles boven 26 tekens.</w:t>
            </w:r>
          </w:p>
        </w:tc>
        <w:tc>
          <w:tcPr>
            <w:tcW w:type="dxa" w:w="4422"/>
          </w:tcPr>
          <w:p>
            <w:pPr>
              <w:spacing w:before="30" w:after="30" w:line="252" w:lineRule="auto"/>
            </w:pPr>
            <w:r/>
            <w:r>
              <w:rPr>
                <w:rFonts w:ascii="Segoe UI" w:hAnsi="Segoe UI" w:eastAsia="Segoe UI"/>
                <w:b w:val="0"/>
                <w:i w:val="0"/>
                <w:color w:val="1B2630"/>
                <w:sz w:val="15"/>
              </w:rPr>
              <w:t>Opgelost: die namen zaten in het formulier dat verdween.</w:t>
            </w:r>
          </w:p>
        </w:tc>
      </w:tr>
      <w:tr>
        <w:tc>
          <w:tcPr>
            <w:tcW w:type="dxa" w:w="2268"/>
          </w:tcPr>
          <w:p>
            <w:pPr>
              <w:spacing w:before="30" w:after="30" w:line="252" w:lineRule="auto"/>
            </w:pPr>
            <w:r/>
            <w:r>
              <w:rPr>
                <w:rFonts w:ascii="Segoe UI" w:hAnsi="Segoe UI" w:eastAsia="Segoe UI"/>
                <w:b w:val="0"/>
                <w:i w:val="0"/>
                <w:color w:val="1B2630"/>
                <w:sz w:val="15"/>
              </w:rPr>
              <w:t>Twee causaliteitsvelden waren dubbel</w:t>
            </w:r>
          </w:p>
        </w:tc>
        <w:tc>
          <w:tcPr>
            <w:tcW w:type="dxa" w:w="3175"/>
          </w:tcPr>
          <w:p>
            <w:pPr>
              <w:spacing w:before="30" w:after="30" w:line="252" w:lineRule="auto"/>
            </w:pPr>
            <w:r/>
            <w:r>
              <w:rPr>
                <w:rFonts w:ascii="Segoe UI" w:hAnsi="Segoe UI" w:eastAsia="Segoe UI"/>
                <w:b w:val="0"/>
                <w:i w:val="0"/>
                <w:color w:val="1B2630"/>
                <w:sz w:val="15"/>
              </w:rPr>
              <w:t>De template draagt een variant voor een monocentrische en één voor een multicentrische studie, met een notitie aan de ontwikkelaar om te kiezen.</w:t>
            </w:r>
          </w:p>
        </w:tc>
        <w:tc>
          <w:tcPr>
            <w:tcW w:type="dxa" w:w="4422"/>
          </w:tcPr>
          <w:p>
            <w:pPr>
              <w:spacing w:before="30" w:after="30" w:line="252" w:lineRule="auto"/>
            </w:pPr>
            <w:r/>
            <w:r>
              <w:rPr>
                <w:rFonts w:ascii="Segoe UI" w:hAnsi="Segoe UI" w:eastAsia="Segoe UI"/>
                <w:b w:val="0"/>
                <w:i w:val="0"/>
                <w:color w:val="1B2630"/>
                <w:sz w:val="15"/>
              </w:rPr>
              <w:t>PARADISE loopt in zes centra, dus de multicentrische variant blijft staan. De twee monocentrische velden zijn verwijderd en de notitie is uit beide labels gehaald.</w:t>
            </w:r>
          </w:p>
        </w:tc>
      </w:tr>
      <w:tr>
        <w:tc>
          <w:tcPr>
            <w:tcW w:type="dxa" w:w="2268"/>
          </w:tcPr>
          <w:p>
            <w:pPr>
              <w:spacing w:before="30" w:after="30" w:line="252" w:lineRule="auto"/>
            </w:pPr>
            <w:r/>
            <w:r>
              <w:rPr>
                <w:rFonts w:ascii="Segoe UI" w:hAnsi="Segoe UI" w:eastAsia="Segoe UI"/>
                <w:b w:val="0"/>
                <w:i w:val="0"/>
                <w:color w:val="1B2630"/>
                <w:sz w:val="15"/>
              </w:rPr>
              <w:t>Vijf labels verwezen naar events die niet bestaan</w:t>
            </w:r>
          </w:p>
        </w:tc>
        <w:tc>
          <w:tcPr>
            <w:tcW w:type="dxa" w:w="3175"/>
          </w:tcPr>
          <w:p>
            <w:pPr>
              <w:spacing w:before="30" w:after="30" w:line="252" w:lineRule="auto"/>
            </w:pPr>
            <w:r/>
            <w:r>
              <w:rPr>
                <w:rFonts w:ascii="Segoe UI" w:hAnsi="Segoe UI" w:eastAsia="Segoe UI"/>
                <w:b w:val="0"/>
                <w:i w:val="0"/>
                <w:color w:val="1B2630"/>
                <w:sz w:val="15"/>
              </w:rPr>
              <w:t>[adverse_event_arm_1] en [concomitant_medica_arm_1] zijn resten van het bronproject.</w:t>
            </w:r>
          </w:p>
        </w:tc>
        <w:tc>
          <w:tcPr>
            <w:tcW w:type="dxa" w:w="4422"/>
          </w:tcPr>
          <w:p>
            <w:pPr>
              <w:spacing w:before="30" w:after="30" w:line="252" w:lineRule="auto"/>
            </w:pPr>
            <w:r/>
            <w:r>
              <w:rPr>
                <w:rFonts w:ascii="Segoe UI" w:hAnsi="Segoe UI" w:eastAsia="Segoe UI"/>
                <w:b w:val="0"/>
                <w:i w:val="0"/>
                <w:color w:val="1B2630"/>
                <w:sz w:val="15"/>
              </w:rPr>
              <w:t>Staan bron en doel op hetzelfde event, dan is de link behouden zonder eventprefix — dat geldt voor concomitant_therapy vanaf het bezoekformulier. Staan ze op verschillende events, dan is de link vervangen door instructietekst, omdat een vaste eventlink met twee armen maar voor één arm werkt.</w:t>
            </w:r>
          </w:p>
        </w:tc>
      </w:tr>
      <w:tr>
        <w:tc>
          <w:tcPr>
            <w:tcW w:type="dxa" w:w="2268"/>
          </w:tcPr>
          <w:p>
            <w:pPr>
              <w:spacing w:before="30" w:after="30" w:line="252" w:lineRule="auto"/>
            </w:pPr>
            <w:r/>
            <w:r>
              <w:rPr>
                <w:rFonts w:ascii="Segoe UI" w:hAnsi="Segoe UI" w:eastAsia="Segoe UI"/>
                <w:b w:val="0"/>
                <w:i w:val="0"/>
                <w:color w:val="1B2630"/>
                <w:sz w:val="15"/>
              </w:rPr>
              <w:t>Twee labels toonden [ae_total]</w:t>
            </w:r>
          </w:p>
        </w:tc>
        <w:tc>
          <w:tcPr>
            <w:tcW w:type="dxa" w:w="3175"/>
          </w:tcPr>
          <w:p>
            <w:pPr>
              <w:spacing w:before="30" w:after="30" w:line="252" w:lineRule="auto"/>
            </w:pPr>
            <w:r/>
            <w:r>
              <w:rPr>
                <w:rFonts w:ascii="Segoe UI" w:hAnsi="Segoe UI" w:eastAsia="Segoe UI"/>
                <w:b w:val="0"/>
                <w:i w:val="0"/>
                <w:color w:val="1B2630"/>
                <w:sz w:val="15"/>
              </w:rPr>
              <w:t>Die variabele bestond nergens.</w:t>
            </w:r>
          </w:p>
        </w:tc>
        <w:tc>
          <w:tcPr>
            <w:tcW w:type="dxa" w:w="4422"/>
          </w:tcPr>
          <w:p>
            <w:pPr>
              <w:spacing w:before="30" w:after="30" w:line="252" w:lineRule="auto"/>
            </w:pPr>
            <w:r/>
            <w:r>
              <w:rPr>
                <w:rFonts w:ascii="Segoe UI" w:hAnsi="Segoe UI" w:eastAsia="Segoe UI"/>
                <w:b w:val="0"/>
                <w:i w:val="0"/>
                <w:color w:val="1B2630"/>
                <w:sz w:val="15"/>
              </w:rPr>
              <w:t>De zinnen die ernaar verwezen zijn weg. Een teller toevoegen had niet geholpen: ze zou op een ander event staan dan waar ze getoond werd.</w:t>
            </w:r>
          </w:p>
        </w:tc>
      </w:tr>
      <w:tr>
        <w:tc>
          <w:tcPr>
            <w:tcW w:type="dxa" w:w="2268"/>
          </w:tcPr>
          <w:p>
            <w:pPr>
              <w:spacing w:before="30" w:after="30" w:line="252" w:lineRule="auto"/>
            </w:pPr>
            <w:r/>
            <w:r>
              <w:rPr>
                <w:rFonts w:ascii="Segoe UI" w:hAnsi="Segoe UI" w:eastAsia="Segoe UI"/>
                <w:b w:val="0"/>
                <w:i w:val="0"/>
                <w:color w:val="1B2630"/>
                <w:sz w:val="15"/>
              </w:rPr>
              <w:t>randomization had geen toewijzingsveld</w:t>
            </w:r>
          </w:p>
        </w:tc>
        <w:tc>
          <w:tcPr>
            <w:tcW w:type="dxa" w:w="3175"/>
          </w:tcPr>
          <w:p>
            <w:pPr>
              <w:spacing w:before="30" w:after="30" w:line="252" w:lineRule="auto"/>
            </w:pPr>
            <w:r/>
            <w:r>
              <w:rPr>
                <w:rFonts w:ascii="Segoe UI" w:hAnsi="Segoe UI" w:eastAsia="Segoe UI"/>
                <w:b w:val="0"/>
                <w:i w:val="0"/>
                <w:color w:val="1B2630"/>
                <w:sz w:val="15"/>
              </w:rPr>
              <w:t>Vijf velden, alle vijf beschrijvend. De toewijzing zelf werd nergens vastgelegd.</w:t>
            </w:r>
          </w:p>
        </w:tc>
        <w:tc>
          <w:tcPr>
            <w:tcW w:type="dxa" w:w="4422"/>
          </w:tcPr>
          <w:p>
            <w:pPr>
              <w:spacing w:before="30" w:after="30" w:line="252" w:lineRule="auto"/>
            </w:pPr>
            <w:r/>
            <w:r>
              <w:rPr>
                <w:rFonts w:ascii="Segoe UI" w:hAnsi="Segoe UI" w:eastAsia="Segoe UI"/>
                <w:b w:val="0"/>
                <w:i w:val="0"/>
                <w:color w:val="1B2630"/>
                <w:sz w:val="15"/>
              </w:rPr>
              <w:t>Vier velden toegevoegd: datum, envelopnummer, toegewezen arm, en de initialen van wie de envelop opende. De eerste drie zijn verplicht.</w:t>
            </w:r>
          </w:p>
        </w:tc>
      </w:tr>
      <w:tr>
        <w:tc>
          <w:tcPr>
            <w:tcW w:type="dxa" w:w="2268"/>
          </w:tcPr>
          <w:p>
            <w:pPr>
              <w:spacing w:before="30" w:after="30" w:line="252" w:lineRule="auto"/>
            </w:pPr>
            <w:r/>
            <w:r>
              <w:rPr>
                <w:rFonts w:ascii="Segoe UI" w:hAnsi="Segoe UI" w:eastAsia="Segoe UI"/>
                <w:b w:val="0"/>
                <w:i w:val="0"/>
                <w:color w:val="1B2630"/>
                <w:sz w:val="15"/>
              </w:rPr>
              <w:t>eligibility stond alleen op visite 0</w:t>
            </w:r>
          </w:p>
        </w:tc>
        <w:tc>
          <w:tcPr>
            <w:tcW w:type="dxa" w:w="3175"/>
          </w:tcPr>
          <w:p>
            <w:pPr>
              <w:spacing w:before="30" w:after="30" w:line="252" w:lineRule="auto"/>
            </w:pPr>
            <w:r/>
            <w:r>
              <w:rPr>
                <w:rFonts w:ascii="Segoe UI" w:hAnsi="Segoe UI" w:eastAsia="Segoe UI"/>
                <w:b w:val="0"/>
                <w:i w:val="0"/>
                <w:color w:val="1B2630"/>
                <w:sz w:val="15"/>
              </w:rPr>
              <w:t>Het formulier draagt de velden voor screenfalen, en screening gebeurt vóór de toestemming.</w:t>
            </w:r>
          </w:p>
        </w:tc>
        <w:tc>
          <w:tcPr>
            <w:tcW w:type="dxa" w:w="4422"/>
          </w:tcPr>
          <w:p>
            <w:pPr>
              <w:spacing w:before="30" w:after="30" w:line="252" w:lineRule="auto"/>
            </w:pPr>
            <w:r/>
            <w:r>
              <w:rPr>
                <w:rFonts w:ascii="Segoe UI" w:hAnsi="Segoe UI" w:eastAsia="Segoe UI"/>
                <w:b w:val="0"/>
                <w:i w:val="0"/>
                <w:color w:val="1B2630"/>
                <w:sz w:val="15"/>
              </w:rPr>
              <w:t>Staat nu ook op het screening-event, in beide armen.</w:t>
            </w:r>
          </w:p>
        </w:tc>
      </w:tr>
      <w:tr>
        <w:tc>
          <w:tcPr>
            <w:tcW w:type="dxa" w:w="2268"/>
          </w:tcPr>
          <w:p>
            <w:pPr>
              <w:spacing w:before="30" w:after="30" w:line="252" w:lineRule="auto"/>
            </w:pPr>
            <w:r/>
            <w:r>
              <w:rPr>
                <w:rFonts w:ascii="Segoe UI" w:hAnsi="Segoe UI" w:eastAsia="Segoe UI"/>
                <w:b w:val="0"/>
                <w:i w:val="0"/>
                <w:color w:val="1B2630"/>
                <w:sz w:val="15"/>
              </w:rPr>
              <w:t>demo_sex droeg een instructie in het label</w:t>
            </w:r>
          </w:p>
        </w:tc>
        <w:tc>
          <w:tcPr>
            <w:tcW w:type="dxa" w:w="3175"/>
          </w:tcPr>
          <w:p>
            <w:pPr>
              <w:spacing w:before="30" w:after="30" w:line="252" w:lineRule="auto"/>
            </w:pPr>
            <w:r/>
            <w:r>
              <w:rPr>
                <w:rFonts w:ascii="Segoe UI" w:hAnsi="Segoe UI" w:eastAsia="Segoe UI"/>
                <w:b w:val="0"/>
                <w:i w:val="0"/>
                <w:color w:val="1B2630"/>
                <w:sz w:val="15"/>
              </w:rPr>
              <w:t>Het label eindigde op “REMOVE DATA FIELD IF NO ADDED VALUE”.</w:t>
            </w:r>
          </w:p>
        </w:tc>
        <w:tc>
          <w:tcPr>
            <w:tcW w:type="dxa" w:w="4422"/>
          </w:tcPr>
          <w:p>
            <w:pPr>
              <w:spacing w:before="30" w:after="30" w:line="252" w:lineRule="auto"/>
            </w:pPr>
            <w:r/>
            <w:r>
              <w:rPr>
                <w:rFonts w:ascii="Segoe UI" w:hAnsi="Segoe UI" w:eastAsia="Segoe UI"/>
                <w:b w:val="0"/>
                <w:i w:val="0"/>
                <w:color w:val="1B2630"/>
                <w:sz w:val="15"/>
              </w:rPr>
              <w:t>Instructie weg, veld behouden — geslacht staat in de Core Descriptor Set.</w:t>
            </w:r>
          </w:p>
        </w:tc>
      </w:tr>
      <w:tr>
        <w:tc>
          <w:tcPr>
            <w:tcW w:type="dxa" w:w="2268"/>
          </w:tcPr>
          <w:p>
            <w:pPr>
              <w:spacing w:before="30" w:after="30" w:line="252" w:lineRule="auto"/>
            </w:pPr>
            <w:r/>
            <w:r>
              <w:rPr>
                <w:rFonts w:ascii="Segoe UI" w:hAnsi="Segoe UI" w:eastAsia="Segoe UI"/>
                <w:b w:val="0"/>
                <w:i w:val="0"/>
                <w:color w:val="1B2630"/>
                <w:sz w:val="15"/>
              </w:rPr>
              <w:t>elcr_inclusion had generieke keuzes</w:t>
            </w:r>
          </w:p>
        </w:tc>
        <w:tc>
          <w:tcPr>
            <w:tcW w:type="dxa" w:w="3175"/>
          </w:tcPr>
          <w:p>
            <w:pPr>
              <w:spacing w:before="30" w:after="30" w:line="252" w:lineRule="auto"/>
            </w:pPr>
            <w:r/>
            <w:r>
              <w:rPr>
                <w:rFonts w:ascii="Segoe UI" w:hAnsi="Segoe UI" w:eastAsia="Segoe UI"/>
                <w:b w:val="0"/>
                <w:i w:val="0"/>
                <w:color w:val="1B2630"/>
                <w:sz w:val="15"/>
              </w:rPr>
              <w:t>De lijst zei “Inclusion criterion 1, 2, 3”.</w:t>
            </w:r>
          </w:p>
        </w:tc>
        <w:tc>
          <w:tcPr>
            <w:tcW w:type="dxa" w:w="4422"/>
          </w:tcPr>
          <w:p>
            <w:pPr>
              <w:spacing w:before="30" w:after="30" w:line="252" w:lineRule="auto"/>
            </w:pPr>
            <w:r/>
            <w:r>
              <w:rPr>
                <w:rFonts w:ascii="Segoe UI" w:hAnsi="Segoe UI" w:eastAsia="Segoe UI"/>
                <w:b w:val="0"/>
                <w:i w:val="0"/>
                <w:color w:val="1B2630"/>
                <w:sz w:val="15"/>
              </w:rPr>
              <w:t>Gevuld met de zes inclusie- en negen exclusiecriteria uit §3 van PARADISE_BRONNEN.md.</w:t>
            </w:r>
          </w:p>
        </w:tc>
      </w:tr>
    </w:tbl>
    <w:p>
      <w:pPr>
        <w:keepNext/>
        <w:spacing w:before="240" w:after="60"/>
      </w:pPr>
      <w:r>
        <w:rPr>
          <w:rFonts w:ascii="Segoe UI" w:hAnsi="Segoe UI" w:eastAsia="Segoe UI"/>
          <w:b/>
          <w:i w:val="0"/>
          <w:color w:val="FF7A00"/>
          <w:sz w:val="22"/>
        </w:rPr>
        <w:t xml:space="preserve">12  </w:t>
      </w:r>
      <w:r>
        <w:rPr>
          <w:rFonts w:ascii="Segoe UI" w:hAnsi="Segoe UI" w:eastAsia="Segoe UI"/>
          <w:b/>
          <w:i w:val="0"/>
          <w:color w:val="00407A"/>
          <w:sz w:val="22"/>
        </w:rPr>
        <w:t>Wat er in de template nog openstaat</w:t>
      </w:r>
    </w:p>
    <w:p>
      <w:pPr>
        <w:spacing w:before="0" w:after="80"/>
      </w:pPr>
      <w:r>
        <w:rPr>
          <w:rFonts w:ascii="Segoe UI" w:hAnsi="Segoe UI" w:eastAsia="Segoe UI"/>
          <w:b w:val="0"/>
          <w:i w:val="0"/>
          <w:color w:val="1B2630"/>
          <w:sz w:val="19"/>
        </w:rPr>
        <w:t>Dit kan ik niet invullen, want het vraagt gegevens of beslissingen die ik niet heb.</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2608"/>
            <w:shd w:val="clear" w:color="auto" w:fill="1D8DB0"/>
          </w:tcPr>
          <w:p>
            <w:pPr>
              <w:spacing w:before="30" w:after="30" w:line="252" w:lineRule="auto"/>
            </w:pPr>
            <w:r/>
            <w:r>
              <w:rPr>
                <w:rFonts w:ascii="Segoe UI" w:hAnsi="Segoe UI" w:eastAsia="Segoe UI"/>
                <w:b/>
                <w:i w:val="0"/>
                <w:color w:val="FFFFFF"/>
                <w:sz w:val="15"/>
              </w:rPr>
              <w:t>Wat</w:t>
            </w:r>
          </w:p>
        </w:tc>
        <w:tc>
          <w:tcPr>
            <w:tcW w:type="dxa" w:w="7257"/>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608"/>
          </w:tcPr>
          <w:p>
            <w:pPr>
              <w:spacing w:before="30" w:after="30" w:line="252" w:lineRule="auto"/>
            </w:pPr>
            <w:r/>
            <w:r>
              <w:rPr>
                <w:rFonts w:ascii="Segoe UI" w:hAnsi="Segoe UI" w:eastAsia="Segoe UI"/>
                <w:b w:val="0"/>
                <w:i w:val="0"/>
                <w:color w:val="1B2630"/>
                <w:sz w:val="15"/>
              </w:rPr>
              <w:t>Acht versieplaceholders</w:t>
            </w:r>
          </w:p>
        </w:tc>
        <w:tc>
          <w:tcPr>
            <w:tcW w:type="dxa" w:w="7257"/>
          </w:tcPr>
          <w:p>
            <w:pPr>
              <w:spacing w:before="30" w:after="30" w:line="252" w:lineRule="auto"/>
            </w:pPr>
            <w:r/>
            <w:r>
              <w:rPr>
                <w:rFonts w:ascii="Segoe UI" w:hAnsi="Segoe UI" w:eastAsia="Segoe UI"/>
                <w:b w:val="0"/>
                <w:i w:val="0"/>
                <w:color w:val="1B2630"/>
                <w:sz w:val="15"/>
              </w:rPr>
              <w:t>De velden *_version_* zeggen “eCRF version X.0 - Protocol version X.0”. Invullen met de echte nummers en de datum, en gelijk houden met wat je bij de EC indient.</w:t>
            </w:r>
          </w:p>
        </w:tc>
      </w:tr>
      <w:tr>
        <w:tc>
          <w:tcPr>
            <w:tcW w:type="dxa" w:w="2608"/>
          </w:tcPr>
          <w:p>
            <w:pPr>
              <w:spacing w:before="30" w:after="30" w:line="252" w:lineRule="auto"/>
            </w:pPr>
            <w:r/>
            <w:r>
              <w:rPr>
                <w:rFonts w:ascii="Segoe UI" w:hAnsi="Segoe UI" w:eastAsia="Segoe UI"/>
                <w:b w:val="0"/>
                <w:i w:val="0"/>
                <w:color w:val="1B2630"/>
                <w:sz w:val="15"/>
              </w:rPr>
              <w:t>Vier velden “Note to eCRF developer”</w:t>
            </w:r>
          </w:p>
        </w:tc>
        <w:tc>
          <w:tcPr>
            <w:tcW w:type="dxa" w:w="7257"/>
          </w:tcPr>
          <w:p>
            <w:pPr>
              <w:spacing w:before="30" w:after="30" w:line="252" w:lineRule="auto"/>
            </w:pPr>
            <w:r/>
            <w:r>
              <w:rPr>
                <w:rFonts w:ascii="Segoe UI" w:hAnsi="Segoe UI" w:eastAsia="Segoe UI"/>
                <w:b w:val="0"/>
                <w:i w:val="0"/>
                <w:color w:val="1B2630"/>
                <w:sz w:val="15"/>
              </w:rPr>
              <w:t>note_1_dev, note_2_dev, note_3_dev en note_5_dev_dd dragen opdrachten over alerts die je moet configureren en over projectspecifieke velden. Lees ze, voer ze uit, en verwijder ze daarna — ze horen niet op het scherm van wie data invoert.</w:t>
            </w:r>
          </w:p>
        </w:tc>
      </w:tr>
      <w:tr>
        <w:tc>
          <w:tcPr>
            <w:tcW w:type="dxa" w:w="2608"/>
          </w:tcPr>
          <w:p>
            <w:pPr>
              <w:spacing w:before="30" w:after="30" w:line="252" w:lineRule="auto"/>
            </w:pPr>
            <w:r/>
            <w:r>
              <w:rPr>
                <w:rFonts w:ascii="Segoe UI" w:hAnsi="Segoe UI" w:eastAsia="Segoe UI"/>
                <w:b w:val="0"/>
                <w:i w:val="0"/>
                <w:color w:val="1B2630"/>
                <w:sz w:val="15"/>
              </w:rPr>
              <w:t>Drie werkvariabelen in randomization</w:t>
            </w:r>
          </w:p>
        </w:tc>
        <w:tc>
          <w:tcPr>
            <w:tcW w:type="dxa" w:w="7257"/>
          </w:tcPr>
          <w:p>
            <w:pPr>
              <w:spacing w:before="30" w:after="30" w:line="252" w:lineRule="auto"/>
            </w:pPr>
            <w:r/>
            <w:r>
              <w:rPr>
                <w:rFonts w:ascii="Segoe UI" w:hAnsi="Segoe UI" w:eastAsia="Segoe UI"/>
                <w:b w:val="0"/>
                <w:i w:val="0"/>
                <w:color w:val="1B2630"/>
                <w:sz w:val="15"/>
              </w:rPr>
              <w:t>rand_email_work, rand_site_work en rand_name_work voeden een bevestigingsmail met de smart variables [user-email], [user-dag-label] en [user-fullname]. Ze doen niets tot je die alert aanmaakt. Maak hem aan, of haal de drie velden weg.</w:t>
            </w:r>
          </w:p>
        </w:tc>
      </w:tr>
      <w:tr>
        <w:tc>
          <w:tcPr>
            <w:tcW w:type="dxa" w:w="2608"/>
          </w:tcPr>
          <w:p>
            <w:pPr>
              <w:spacing w:before="30" w:after="30" w:line="252" w:lineRule="auto"/>
            </w:pPr>
            <w:r/>
            <w:r>
              <w:rPr>
                <w:rFonts w:ascii="Segoe UI" w:hAnsi="Segoe UI" w:eastAsia="Segoe UI"/>
                <w:b w:val="0"/>
                <w:i w:val="0"/>
                <w:color w:val="1B2630"/>
                <w:sz w:val="15"/>
              </w:rPr>
              <w:t>concomitant_therapy moet herhalend zijn</w:t>
            </w:r>
          </w:p>
        </w:tc>
        <w:tc>
          <w:tcPr>
            <w:tcW w:type="dxa" w:w="7257"/>
          </w:tcPr>
          <w:p>
            <w:pPr>
              <w:spacing w:before="30" w:after="30" w:line="252" w:lineRule="auto"/>
            </w:pPr>
            <w:r/>
            <w:r>
              <w:rPr>
                <w:rFonts w:ascii="Segoe UI" w:hAnsi="Segoe UI" w:eastAsia="Segoe UI"/>
                <w:b w:val="0"/>
                <w:i w:val="0"/>
                <w:color w:val="1B2630"/>
                <w:sz w:val="15"/>
              </w:rPr>
              <w:t>Het veld contx_total rekent met [last-instance]. Dat werkt alleen als het formulier als herhalend instrument is ingesteld op de bezoek-events. Geen optie dus, maar een vereiste; ze staat daarom als stap 9 in de opbouw.</w:t>
            </w:r>
          </w:p>
        </w:tc>
      </w:tr>
      <w:tr>
        <w:tc>
          <w:tcPr>
            <w:tcW w:type="dxa" w:w="2608"/>
          </w:tcPr>
          <w:p>
            <w:pPr>
              <w:spacing w:before="30" w:after="30" w:line="252" w:lineRule="auto"/>
            </w:pPr>
            <w:r/>
            <w:r>
              <w:rPr>
                <w:rFonts w:ascii="Segoe UI" w:hAnsi="Segoe UI" w:eastAsia="Segoe UI"/>
                <w:b w:val="0"/>
                <w:i w:val="0"/>
                <w:color w:val="1B2630"/>
                <w:sz w:val="15"/>
              </w:rPr>
              <w:t>Het MedDRA-veld hangt aan BioPortal</w:t>
            </w:r>
          </w:p>
        </w:tc>
        <w:tc>
          <w:tcPr>
            <w:tcW w:type="dxa" w:w="7257"/>
          </w:tcPr>
          <w:p>
            <w:pPr>
              <w:spacing w:before="30" w:after="30" w:line="252" w:lineRule="auto"/>
            </w:pPr>
            <w:r/>
            <w:r>
              <w:rPr>
                <w:rFonts w:ascii="Segoe UI" w:hAnsi="Segoe UI" w:eastAsia="Segoe UI"/>
                <w:b w:val="0"/>
                <w:i w:val="0"/>
                <w:color w:val="1B2630"/>
                <w:sz w:val="15"/>
              </w:rPr>
              <w:t>ae_medra_v2 is een tekstveld met BIOPORTAL:MEDDRA als bron — de ontologie-autoaanvulling van REDCap. Dat vraagt BioPortal-integratie op je instantie én toegang tot MedDRA, dat gelicentieerd is. Test het; anders valt het stil terug op een gewoon tekstvak.</w:t>
            </w:r>
          </w:p>
        </w:tc>
      </w:tr>
      <w:tr>
        <w:tc>
          <w:tcPr>
            <w:tcW w:type="dxa" w:w="2608"/>
          </w:tcPr>
          <w:p>
            <w:pPr>
              <w:spacing w:before="30" w:after="30" w:line="252" w:lineRule="auto"/>
            </w:pPr>
            <w:r/>
            <w:r>
              <w:rPr>
                <w:rFonts w:ascii="Segoe UI" w:hAnsi="Segoe UI" w:eastAsia="Segoe UI"/>
                <w:b w:val="0"/>
                <w:i w:val="0"/>
                <w:color w:val="1B2630"/>
                <w:sz w:val="15"/>
              </w:rPr>
              <w:t>elcr_inclusion tegenover eCRF 01</w:t>
            </w:r>
          </w:p>
        </w:tc>
        <w:tc>
          <w:tcPr>
            <w:tcW w:type="dxa" w:w="7257"/>
          </w:tcPr>
          <w:p>
            <w:pPr>
              <w:spacing w:before="30" w:after="30" w:line="252" w:lineRule="auto"/>
            </w:pPr>
            <w:r/>
            <w:r>
              <w:rPr>
                <w:rFonts w:ascii="Segoe UI" w:hAnsi="Segoe UI" w:eastAsia="Segoe UI"/>
                <w:b w:val="0"/>
                <w:i w:val="0"/>
                <w:color w:val="1B2630"/>
                <w:sz w:val="15"/>
              </w:rPr>
              <w:t>Ik vulde de criteria uit §3. eCRF 01 noemt er zeven en mist E3 (PEDIS graad 3), E5 (immunosuppressie) en de inclusie-eis I4 (stabiele vaatstatus). Beide moeten gelijk komen vóór de EC-indiening — openstaand punt 2.</w:t>
            </w:r>
          </w:p>
        </w:tc>
      </w:tr>
    </w:tbl>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Daarbovenop zijn de veldeigenschappen zelf vier keer nagelopen: matrixregels, keuzecodes, rekenformules, branching per veld-waardepaar, minima en maxima, en de dekking van elk papieren item. Alle vier de controles geven nul fouten. 1413 velden, 40 formulieren, 30 events, 205 rijen in de mapping.</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