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database light op de laptop. De meting begint daar, niet in novel studio.</w:t>
      </w:r>
    </w:p>
    <w:p>
      <w:pPr>
        <w:keepNext/>
        <w:spacing w:before="200" w:after="80"/>
      </w:pPr>
      <w:r>
        <w:rPr>
          <w:b/>
          <w:color w:val="123A5F"/>
          <w:sz w:val="24"/>
        </w:rPr>
        <w:t>2. De kleurenschaal instellen — eenmalig per laptop</w:t>
      </w:r>
    </w:p>
    <w:p>
      <w:r>
        <w:rPr>
          <w:b w:val="0"/>
          <w:i/>
          <w:sz w:val="22"/>
        </w:rPr>
        <w:t>Doe dit één keer per laptop, vóór de eerste deelnemer. Het palet zit in novel studio, dus start dat programma hier eenmalig los op. Staat het palet al goed, ga dan meteen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41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Pressure Monitoring Tool onderling niet meer vergelijkbaar en is de visuele beoordeling waardeloos.</w:t>
      </w:r>
    </w:p>
    <w:p>
      <w:pPr>
        <w:keepNext/>
        <w:spacing w:before="200" w:after="80"/>
      </w:pPr>
      <w:r>
        <w:rPr>
          <w:b/>
          <w:color w:val="123A5F"/>
          <w:sz w:val="24"/>
        </w:rPr>
        <w:t>3. De deelnemer in de database</w:t>
      </w:r>
    </w:p>
    <w:p>
      <w:r>
        <w:rPr>
          <w:b/>
          <w:i w:val="0"/>
          <w:sz w:val="22"/>
        </w:rPr>
        <w:t>De meting wordt gestart vanuit novel database light 29.3.18. Dat is geen omweg: een meting die daar begint hangt meteen aan de juiste persoon en het juiste bezoek. Start je in novel studio, dan krijg je een los bestand dat achteraf nog teruggezocht en gekoppeld moet worden.</w:t>
      </w:r>
    </w:p>
    <w:p>
      <w:pPr>
        <w:keepNext/>
        <w:spacing w:before="160"/>
      </w:pPr>
      <w:r>
        <w:rPr>
          <w:b/>
          <w:color w:val="123A5F"/>
          <w:sz w:val="20"/>
        </w:rPr>
        <w:t>Figuur 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3" name="Picture 3"/>
            <wp:cNvGraphicFramePr>
              <a:graphicFrameLocks noChangeAspect="1"/>
            </wp:cNvGraphicFramePr>
            <a:graphic>
              <a:graphicData uri="http://schemas.openxmlformats.org/drawingml/2006/picture">
                <pic:pic>
                  <pic:nvPicPr>
                    <pic:cNvPr id="0" name="Schermafbeelding 2026-09-14 093611.png"/>
                    <pic:cNvPicPr/>
                  </pic:nvPicPr>
                  <pic:blipFill>
                    <a:blip r:embed="rId1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dat heb je voor een gewone meting niet nodig.</w:t>
      </w:r>
    </w:p>
    <w:p>
      <w:pPr>
        <w:keepNext/>
        <w:spacing w:before="160"/>
      </w:pPr>
      <w:r>
        <w:rPr>
          <w:b/>
          <w:color w:val="123A5F"/>
          <w:sz w:val="20"/>
        </w:rPr>
        <w:t>Figuur 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4" name="Picture 4"/>
            <wp:cNvGraphicFramePr>
              <a:graphicFrameLocks noChangeAspect="1"/>
            </wp:cNvGraphicFramePr>
            <a:graphic>
              <a:graphicData uri="http://schemas.openxmlformats.org/drawingml/2006/picture">
                <pic:pic>
                  <pic:nvPicPr>
                    <pic:cNvPr id="0" name="Schermafbeelding 2026-09-14 093655.png"/>
                    <pic:cNvPicPr/>
                  </pic:nvPicPr>
                  <pic:blipFill>
                    <a:blip r:embed="rId13"/>
                    <a:stretch>
                      <a:fillRect/>
                    </a:stretch>
                  </pic:blipFill>
                  <pic:spPr>
                    <a:xfrm>
                      <a:off x="0" y="0"/>
                      <a:ext cx="5400000" cy="3205393"/>
                    </a:xfrm>
                    <a:prstGeom prst="rect"/>
                  </pic:spPr>
                </pic:pic>
              </a:graphicData>
            </a:graphic>
          </wp:inline>
        </w:drawing>
      </w:r>
    </w:p>
    <w:p>
      <w:pPr>
        <w:ind w:left="397" w:hanging="397"/>
      </w:pPr>
      <w:r>
        <w:rPr>
          <w:b/>
        </w:rPr>
        <w:t xml:space="preserve">6. </w:t>
      </w:r>
      <w:r>
        <w:t>Kies de database Sint_Jan_Paradise_Project. Alias ‘local’, authenticatie via Windows. Staat er ‘Connected’ in het groen, dan is de verbinding in orde. Laat de twee demodatabases ongemoeid.</w:t>
      </w:r>
    </w:p>
    <w:p>
      <w:pPr>
        <w:ind w:left="397" w:hanging="397"/>
      </w:pPr>
      <w:r>
        <w:rPr>
          <w:b/>
        </w:rPr>
        <w:t xml:space="preserve">7. </w:t>
      </w:r>
      <w:r>
        <w:t>Zoek de deelnemer met ‘Search’. Staat die er nog niet, maak hem dan aan met ‘New data set’.</w:t>
      </w:r>
    </w:p>
    <w:p>
      <w:pPr>
        <w:keepNext/>
        <w:spacing w:before="160"/>
      </w:pPr>
      <w:r>
        <w:rPr>
          <w:b/>
          <w:color w:val="123A5F"/>
          <w:sz w:val="20"/>
        </w:rPr>
        <w:t>Figuur 5: Persons — alleen de deelnemerscode, geen naam</w:t>
      </w:r>
    </w:p>
    <w:p>
      <w:pPr>
        <w:spacing w:after="160"/>
        <w:jc w:val="center"/>
      </w:pPr>
      <w:r>
        <w:drawing>
          <wp:inline xmlns:a="http://schemas.openxmlformats.org/drawingml/2006/main" xmlns:pic="http://schemas.openxmlformats.org/drawingml/2006/picture">
            <wp:extent cx="5400000" cy="3218054"/>
            <wp:docPr id="5" name="Picture 5"/>
            <wp:cNvGraphicFramePr>
              <a:graphicFrameLocks noChangeAspect="1"/>
            </wp:cNvGraphicFramePr>
            <a:graphic>
              <a:graphicData uri="http://schemas.openxmlformats.org/drawingml/2006/picture">
                <pic:pic>
                  <pic:nvPicPr>
                    <pic:cNvPr id="0" name="Schermafbeelding 2026-09-14 093745.png"/>
                    <pic:cNvPicPr/>
                  </pic:nvPicPr>
                  <pic:blipFill>
                    <a:blip r:embed="rId14"/>
                    <a:stretch>
                      <a:fillRect/>
                    </a:stretch>
                  </pic:blipFill>
                  <pic:spPr>
                    <a:xfrm>
                      <a:off x="0" y="0"/>
                      <a:ext cx="5400000" cy="3218054"/>
                    </a:xfrm>
                    <a:prstGeom prst="rect"/>
                  </pic:spPr>
                </pic:pic>
              </a:graphicData>
            </a:graphic>
          </wp:inline>
        </w:drawing>
      </w:r>
    </w:p>
    <w:p>
      <w:pPr>
        <w:ind w:left="397" w:hanging="397"/>
      </w:pPr>
      <w:r>
        <w:rPr>
          <w:b/>
        </w:rPr>
        <w:t xml:space="preserve">8. </w:t>
      </w:r>
      <w:r>
        <w:t>Vul bij ID en External ID de deelnemerscode in, zet een X in First name en Last name, en 01/01/1900 bij Date of birth. Laat adres, telefoonnummer en beroep leeg.</w:t>
      </w:r>
    </w:p>
    <w:p>
      <w:pPr>
        <w:ind w:left="340"/>
      </w:pPr>
      <w:r>
        <w:rPr>
          <w:b w:val="0"/>
          <w:i/>
          <w:sz w:val="22"/>
        </w:rPr>
        <w:t>De database is gebouwd voor klinische dossiers en vraagt naam en geboortedatum, maar in de studie hoort daar niets herleidbaars in. Dezelfde 01/01/1900 voor élke deelnemer: het veld Age rekent daarop verder en komt op 126 uit — dat is geen fout, maar het teken dat er geen echte geboortedatum in staat.</w:t>
      </w:r>
    </w:p>
    <w:p>
      <w:pPr>
        <w:keepNext/>
        <w:spacing w:before="160"/>
      </w:pPr>
      <w:r>
        <w:rPr>
          <w:b/>
          <w:color w:val="123A5F"/>
          <w:sz w:val="20"/>
        </w:rPr>
        <w:t>Figuur 6: Visits — datum, leeftijd, lengte, gewicht en schoenmaat</w:t>
      </w:r>
    </w:p>
    <w:p>
      <w:pPr>
        <w:spacing w:after="160"/>
        <w:jc w:val="center"/>
      </w:pPr>
      <w:r>
        <w:drawing>
          <wp:inline xmlns:a="http://schemas.openxmlformats.org/drawingml/2006/main" xmlns:pic="http://schemas.openxmlformats.org/drawingml/2006/picture">
            <wp:extent cx="3960000" cy="3352878"/>
            <wp:docPr id="6" name="Picture 6"/>
            <wp:cNvGraphicFramePr>
              <a:graphicFrameLocks noChangeAspect="1"/>
            </wp:cNvGraphicFramePr>
            <a:graphic>
              <a:graphicData uri="http://schemas.openxmlformats.org/drawingml/2006/picture">
                <pic:pic>
                  <pic:nvPicPr>
                    <pic:cNvPr id="0" name="Schermafbeelding 2026-09-14 093804.png"/>
                    <pic:cNvPicPr/>
                  </pic:nvPicPr>
                  <pic:blipFill>
                    <a:blip r:embed="rId15"/>
                    <a:stretch>
                      <a:fillRect/>
                    </a:stretch>
                  </pic:blipFill>
                  <pic:spPr>
                    <a:xfrm>
                      <a:off x="0" y="0"/>
                      <a:ext cx="3960000" cy="3352878"/>
                    </a:xfrm>
                    <a:prstGeom prst="rect"/>
                  </pic:spPr>
                </pic:pic>
              </a:graphicData>
            </a:graphic>
          </wp:inline>
        </w:drawing>
      </w:r>
    </w:p>
    <w:p>
      <w:pPr>
        <w:ind w:left="397" w:hanging="397"/>
      </w:pPr>
      <w:r>
        <w:rPr>
          <w:b/>
        </w:rPr>
        <w:t xml:space="preserve">9. </w:t>
      </w:r>
      <w:r>
        <w:t>Klik op ‘Add Visit’ en vul datum, lengte, gewicht en schoenmaat in. Het gewicht is nodig om de drukwaarden later te kunnen normaliseren.</w:t>
      </w:r>
    </w:p>
    <w:p>
      <w:pPr>
        <w:ind w:left="340"/>
      </w:pPr>
      <w:r>
        <w:rPr>
          <w:b w:val="0"/>
          <w:i/>
          <w:sz w:val="22"/>
        </w:rPr>
        <w:t>Elk meetmoment is een apart bezoek. History, Comments, Results en Conclusion zijn vrije tekst — zet daar niets in dat naar de deelnemer herleidbaar is.</w:t>
      </w:r>
    </w:p>
    <w:p>
      <w:pPr>
        <w:keepNext/>
        <w:spacing w:before="160"/>
      </w:pPr>
      <w:r>
        <w:rPr>
          <w:b/>
          <w:color w:val="123A5F"/>
          <w:sz w:val="20"/>
        </w:rPr>
        <w:t>Figuur 7: pedar Files — hier staat de knop ‘Measure’</w:t>
      </w:r>
    </w:p>
    <w:p>
      <w:pPr>
        <w:spacing w:after="160"/>
        <w:jc w:val="center"/>
      </w:pPr>
      <w:r>
        <w:drawing>
          <wp:inline xmlns:a="http://schemas.openxmlformats.org/drawingml/2006/main" xmlns:pic="http://schemas.openxmlformats.org/drawingml/2006/picture">
            <wp:extent cx="3960000" cy="3267000"/>
            <wp:docPr id="7" name="Picture 7"/>
            <wp:cNvGraphicFramePr>
              <a:graphicFrameLocks noChangeAspect="1"/>
            </wp:cNvGraphicFramePr>
            <a:graphic>
              <a:graphicData uri="http://schemas.openxmlformats.org/drawingml/2006/picture">
                <pic:pic>
                  <pic:nvPicPr>
                    <pic:cNvPr id="0" name="Schermafbeelding 2026-09-14 093843.png"/>
                    <pic:cNvPicPr/>
                  </pic:nvPicPr>
                  <pic:blipFill>
                    <a:blip r:embed="rId16"/>
                    <a:stretch>
                      <a:fillRect/>
                    </a:stretch>
                  </pic:blipFill>
                  <pic:spPr>
                    <a:xfrm>
                      <a:off x="0" y="0"/>
                      <a:ext cx="3960000" cy="3267000"/>
                    </a:xfrm>
                    <a:prstGeom prst="rect"/>
                  </pic:spPr>
                </pic:pic>
              </a:graphicData>
            </a:graphic>
          </wp:inline>
        </w:drawing>
      </w:r>
    </w:p>
    <w:p>
      <w:pPr>
        <w:ind w:left="340"/>
      </w:pPr>
      <w:r>
        <w:rPr>
          <w:b/>
          <w:i w:val="0"/>
          <w:sz w:val="22"/>
        </w:rPr>
        <w:t>Ga naar het tabblad pedar Files en laat dat openstaan. De knop ‘Measure’ gebruik je in hoofdstuk 10, zodra de zolen aangesloten en nulgesteld zijn. Klik er nu nog niet op.</w:t>
      </w:r>
    </w:p>
    <w:p>
      <w:pPr>
        <w:keepNext/>
        <w:spacing w:before="200" w:after="80"/>
      </w:pPr>
      <w:r>
        <w:rPr>
          <w:b/>
          <w:color w:val="123A5F"/>
          <w:sz w:val="24"/>
        </w:rPr>
        <w:t>4.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8: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8" name="Picture 8"/>
            <wp:cNvGraphicFramePr>
              <a:graphicFrameLocks noChangeAspect="1"/>
            </wp:cNvGraphicFramePr>
            <a:graphic>
              <a:graphicData uri="http://schemas.openxmlformats.org/drawingml/2006/picture">
                <pic:pic>
                  <pic:nvPicPr>
                    <pic:cNvPr id="0" name="20260910_101052.jpg"/>
                    <pic:cNvPicPr/>
                  </pic:nvPicPr>
                  <pic:blipFill>
                    <a:blip r:embed="rId17"/>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10. </w:t>
      </w:r>
      <w:r>
        <w:t>Vraag de schoenmaat van de deelnemer en kies de zool uit de tabel hierboven.</w:t>
      </w:r>
    </w:p>
    <w:p>
      <w:pPr>
        <w:ind w:left="397" w:hanging="397"/>
      </w:pPr>
      <w:r>
        <w:rPr>
          <w:b/>
        </w:rPr>
        <w:t xml:space="preserve">11. </w:t>
      </w:r>
      <w:r>
        <w:t>Lees het label op de zool en noteer de volledige code, bijvoorbeeld XW.830R, op het formulier. Je hebt ze straks nodig om het configuratiebestand te kiezen.</w:t>
      </w:r>
    </w:p>
    <w:p>
      <w:pPr>
        <w:ind w:left="397" w:hanging="397"/>
      </w:pPr>
      <w:r>
        <w:rPr>
          <w:b/>
        </w:rPr>
        <w:t xml:space="preserve">12. </w:t>
      </w:r>
      <w:r>
        <w:t>Controleer dat je een linker- en een rechterzool van dezelfde maat neemt.</w:t>
      </w:r>
    </w:p>
    <w:p>
      <w:pPr>
        <w:keepNext/>
        <w:spacing w:before="200" w:after="80"/>
      </w:pPr>
      <w:r>
        <w:rPr>
          <w:b/>
          <w:color w:val="123A5F"/>
          <w:sz w:val="24"/>
        </w:rPr>
        <w:t>5. Aansluiten en aanzetten</w:t>
      </w:r>
    </w:p>
    <w:p>
      <w:pPr>
        <w:keepNext/>
        <w:spacing w:before="160"/>
      </w:pPr>
      <w:r>
        <w:rPr>
          <w:b/>
          <w:color w:val="123A5F"/>
          <w:sz w:val="20"/>
        </w:rPr>
        <w:t>Figuur 9: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9" name="Picture 9"/>
            <wp:cNvGraphicFramePr>
              <a:graphicFrameLocks noChangeAspect="1"/>
            </wp:cNvGraphicFramePr>
            <a:graphic>
              <a:graphicData uri="http://schemas.openxmlformats.org/drawingml/2006/picture">
                <pic:pic>
                  <pic:nvPicPr>
                    <pic:cNvPr id="0" name="20260910_101023.jpg"/>
                    <pic:cNvPicPr/>
                  </pic:nvPicPr>
                  <pic:blipFill>
                    <a:blip r:embed="rId18"/>
                    <a:stretch>
                      <a:fillRect/>
                    </a:stretch>
                  </pic:blipFill>
                  <pic:spPr>
                    <a:xfrm>
                      <a:off x="0" y="0"/>
                      <a:ext cx="2880000" cy="2158276"/>
                    </a:xfrm>
                    <a:prstGeom prst="rect"/>
                  </pic:spPr>
                </pic:pic>
              </a:graphicData>
            </a:graphic>
          </wp:inline>
        </w:drawing>
      </w:r>
    </w:p>
    <w:p>
      <w:pPr>
        <w:ind w:left="397" w:hanging="397"/>
      </w:pPr>
      <w:r>
        <w:rPr>
          <w:b/>
        </w:rPr>
        <w:t xml:space="preserve">13. </w:t>
      </w:r>
      <w:r>
        <w:t>Sluit de linkerzool aan op de zender met L in de naam, en de rechterzool op die met R. De letter op de connector en op de zender moeten overeenkomen.</w:t>
      </w:r>
    </w:p>
    <w:p>
      <w:pPr>
        <w:ind w:left="397" w:hanging="397"/>
      </w:pPr>
      <w:r>
        <w:rPr>
          <w:b/>
        </w:rPr>
        <w:t xml:space="preserve">14. </w:t>
      </w:r>
      <w:r>
        <w:t>Zet beide zenders aan met de knop bovenaan.</w:t>
      </w:r>
    </w:p>
    <w:p>
      <w:pPr>
        <w:ind w:left="340"/>
      </w:pPr>
      <w:r>
        <w:rPr>
          <w:b/>
          <w:i w:val="0"/>
          <w:sz w:val="22"/>
        </w:rPr>
        <w:t>De zolen blijven voorlopig op tafel liggen. Ze gaan pas in de schoen na het nulstellen, in stap 27.</w:t>
      </w:r>
    </w:p>
    <w:p>
      <w:pPr>
        <w:keepNext/>
        <w:spacing w:before="200" w:after="80"/>
      </w:pPr>
      <w:r>
        <w:rPr>
          <w:b/>
          <w:color w:val="123A5F"/>
          <w:sz w:val="24"/>
        </w:rPr>
        <w:t>6. Toestellen verbinden</w:t>
      </w:r>
    </w:p>
    <w:p>
      <w:pPr>
        <w:keepNext/>
        <w:spacing w:before="160"/>
      </w:pPr>
      <w:r>
        <w:rPr>
          <w:b/>
          <w:color w:val="123A5F"/>
          <w:sz w:val="20"/>
        </w:rPr>
        <w:t>Figuur 10: Manage Devices — toestellen nog niet verbonden</w:t>
      </w:r>
    </w:p>
    <w:p>
      <w:pPr>
        <w:spacing w:after="160"/>
        <w:jc w:val="center"/>
      </w:pPr>
      <w:r>
        <w:drawing>
          <wp:inline xmlns:a="http://schemas.openxmlformats.org/drawingml/2006/main" xmlns:pic="http://schemas.openxmlformats.org/drawingml/2006/picture">
            <wp:extent cx="5760000" cy="3430340"/>
            <wp:docPr id="10" name="Picture 10"/>
            <wp:cNvGraphicFramePr>
              <a:graphicFrameLocks noChangeAspect="1"/>
            </wp:cNvGraphicFramePr>
            <a:graphic>
              <a:graphicData uri="http://schemas.openxmlformats.org/drawingml/2006/picture">
                <pic:pic>
                  <pic:nvPicPr>
                    <pic:cNvPr id="0" name="Schermafbeelding 2026-09-10 100244.png"/>
                    <pic:cNvPicPr/>
                  </pic:nvPicPr>
                  <pic:blipFill>
                    <a:blip r:embed="rId19"/>
                    <a:stretch>
                      <a:fillRect/>
                    </a:stretch>
                  </pic:blipFill>
                  <pic:spPr>
                    <a:xfrm>
                      <a:off x="0" y="0"/>
                      <a:ext cx="5760000" cy="3430340"/>
                    </a:xfrm>
                    <a:prstGeom prst="rect"/>
                  </pic:spPr>
                </pic:pic>
              </a:graphicData>
            </a:graphic>
          </wp:inline>
        </w:drawing>
      </w:r>
    </w:p>
    <w:p>
      <w:pPr>
        <w:ind w:left="397" w:hanging="397"/>
      </w:pPr>
      <w:r>
        <w:rPr>
          <w:b/>
        </w:rPr>
        <w:t xml:space="preserve">15. </w:t>
      </w:r>
      <w:r>
        <w:t>Ga naar ‘Manage Devices’ en klik op ‘Scan Wi-Fi’ bij ‘pedar &amp; pliance’.</w:t>
      </w:r>
    </w:p>
    <w:p>
      <w:pPr>
        <w:ind w:left="397" w:hanging="397"/>
      </w:pPr>
      <w:r>
        <w:rPr>
          <w:b/>
        </w:rPr>
        <w:t xml:space="preserve">16.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11: Manage Devices — beide toestellen verbonden en klaar</w:t>
      </w:r>
    </w:p>
    <w:p>
      <w:pPr>
        <w:spacing w:after="160"/>
        <w:jc w:val="center"/>
      </w:pPr>
      <w:r>
        <w:drawing>
          <wp:inline xmlns:a="http://schemas.openxmlformats.org/drawingml/2006/main" xmlns:pic="http://schemas.openxmlformats.org/drawingml/2006/picture">
            <wp:extent cx="5760000" cy="3432591"/>
            <wp:docPr id="11" name="Picture 11"/>
            <wp:cNvGraphicFramePr>
              <a:graphicFrameLocks noChangeAspect="1"/>
            </wp:cNvGraphicFramePr>
            <a:graphic>
              <a:graphicData uri="http://schemas.openxmlformats.org/drawingml/2006/picture">
                <pic:pic>
                  <pic:nvPicPr>
                    <pic:cNvPr id="0" name="Schermafbeelding 2026-09-10 101213.png"/>
                    <pic:cNvPicPr/>
                  </pic:nvPicPr>
                  <pic:blipFill>
                    <a:blip r:embed="rId20"/>
                    <a:stretch>
                      <a:fillRect/>
                    </a:stretch>
                  </pic:blipFill>
                  <pic:spPr>
                    <a:xfrm>
                      <a:off x="0" y="0"/>
                      <a:ext cx="5760000" cy="3432591"/>
                    </a:xfrm>
                    <a:prstGeom prst="rect"/>
                  </pic:spPr>
                </pic:pic>
              </a:graphicData>
            </a:graphic>
          </wp:inline>
        </w:drawing>
      </w:r>
    </w:p>
    <w:p>
      <w:pPr>
        <w:ind w:left="397" w:hanging="397"/>
      </w:pPr>
      <w:r>
        <w:rPr>
          <w:b/>
        </w:rPr>
        <w:t xml:space="preserve">17.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7. Het configuratiebestand koppelen</w:t>
      </w:r>
    </w:p>
    <w:p>
      <w:pPr>
        <w:keepNext/>
        <w:spacing w:before="160"/>
      </w:pPr>
      <w:r>
        <w:rPr>
          <w:b/>
          <w:color w:val="123A5F"/>
          <w:sz w:val="20"/>
        </w:rPr>
        <w:t>Figuur 12: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12" name="Picture 12"/>
            <wp:cNvGraphicFramePr>
              <a:graphicFrameLocks noChangeAspect="1"/>
            </wp:cNvGraphicFramePr>
            <a:graphic>
              <a:graphicData uri="http://schemas.openxmlformats.org/drawingml/2006/picture">
                <pic:pic>
                  <pic:nvPicPr>
                    <pic:cNvPr id="0" name="Schermafbeelding 2026-09-10 101240.png"/>
                    <pic:cNvPicPr/>
                  </pic:nvPicPr>
                  <pic:blipFill>
                    <a:blip r:embed="rId21"/>
                    <a:stretch>
                      <a:fillRect/>
                    </a:stretch>
                  </pic:blipFill>
                  <pic:spPr>
                    <a:xfrm>
                      <a:off x="0" y="0"/>
                      <a:ext cx="5760000" cy="3443845"/>
                    </a:xfrm>
                    <a:prstGeom prst="rect"/>
                  </pic:spPr>
                </pic:pic>
              </a:graphicData>
            </a:graphic>
          </wp:inline>
        </w:drawing>
      </w:r>
    </w:p>
    <w:p>
      <w:pPr>
        <w:ind w:left="397" w:hanging="397"/>
      </w:pPr>
      <w:r>
        <w:rPr>
          <w:b/>
        </w:rPr>
        <w:t xml:space="preserve">18. </w:t>
      </w:r>
      <w:r>
        <w:t>Klik bij het linkertoestel op ‘Select config file’.</w:t>
      </w:r>
    </w:p>
    <w:p>
      <w:pPr>
        <w:ind w:left="397" w:hanging="397"/>
      </w:pPr>
      <w:r>
        <w:rPr>
          <w:b/>
        </w:rPr>
        <w:t xml:space="preserve">19. </w:t>
      </w:r>
      <w:r>
        <w:t>Kies het bestand waarvan de code overeenkomt met het label dat je in stap 11 hebt genoteerd. Voor zool XW.831L is dat plidar-G009L_xw831L.</w:t>
      </w:r>
    </w:p>
    <w:p>
      <w:pPr>
        <w:ind w:left="397" w:hanging="397"/>
      </w:pPr>
      <w:r>
        <w:rPr>
          <w:b/>
        </w:rPr>
        <w:t xml:space="preserve">20.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21. </w:t>
      </w:r>
      <w:r>
        <w:t>Herhaal voor het rechtertoestel, met het bestand dat op R eindigt.</w:t>
      </w:r>
    </w:p>
    <w:p>
      <w:pPr>
        <w:ind w:left="397" w:hanging="397"/>
      </w:pPr>
      <w:r>
        <w:rPr>
          <w:b/>
        </w:rPr>
        <w:t xml:space="preserve">22.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13: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13" name="Picture 13"/>
            <wp:cNvGraphicFramePr>
              <a:graphicFrameLocks noChangeAspect="1"/>
            </wp:cNvGraphicFramePr>
            <a:graphic>
              <a:graphicData uri="http://schemas.openxmlformats.org/drawingml/2006/picture">
                <pic:pic>
                  <pic:nvPicPr>
                    <pic:cNvPr id="0" name="Schermafbeelding 2026-09-14 093934.png"/>
                    <pic:cNvPicPr/>
                  </pic:nvPicPr>
                  <pic:blipFill>
                    <a:blip r:embed="rId22"/>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8. Nulstellen en meetfrequentie</w:t>
      </w:r>
    </w:p>
    <w:p>
      <w:pPr>
        <w:keepNext/>
        <w:spacing w:before="160"/>
      </w:pPr>
      <w:r>
        <w:rPr>
          <w:b/>
          <w:color w:val="123A5F"/>
          <w:sz w:val="20"/>
        </w:rPr>
        <w:t>Figuur 14: Measure — nulstellen en meetfrequentie</w:t>
      </w:r>
    </w:p>
    <w:p>
      <w:pPr>
        <w:spacing w:after="160"/>
        <w:jc w:val="center"/>
      </w:pPr>
      <w:r>
        <w:drawing>
          <wp:inline xmlns:a="http://schemas.openxmlformats.org/drawingml/2006/main" xmlns:pic="http://schemas.openxmlformats.org/drawingml/2006/picture">
            <wp:extent cx="5760000" cy="3443845"/>
            <wp:docPr id="14" name="Picture 14"/>
            <wp:cNvGraphicFramePr>
              <a:graphicFrameLocks noChangeAspect="1"/>
            </wp:cNvGraphicFramePr>
            <a:graphic>
              <a:graphicData uri="http://schemas.openxmlformats.org/drawingml/2006/picture">
                <pic:pic>
                  <pic:nvPicPr>
                    <pic:cNvPr id="0" name="Schermafbeelding 2026-09-10 101325.png"/>
                    <pic:cNvPicPr/>
                  </pic:nvPicPr>
                  <pic:blipFill>
                    <a:blip r:embed="rId23"/>
                    <a:stretch>
                      <a:fillRect/>
                    </a:stretch>
                  </pic:blipFill>
                  <pic:spPr>
                    <a:xfrm>
                      <a:off x="0" y="0"/>
                      <a:ext cx="5760000" cy="3443845"/>
                    </a:xfrm>
                    <a:prstGeom prst="rect"/>
                  </pic:spPr>
                </pic:pic>
              </a:graphicData>
            </a:graphic>
          </wp:inline>
        </w:drawing>
      </w:r>
    </w:p>
    <w:p>
      <w:pPr>
        <w:ind w:left="397" w:hanging="397"/>
      </w:pPr>
      <w:r>
        <w:rPr>
          <w:b/>
        </w:rPr>
        <w:t xml:space="preserve">23. </w:t>
      </w:r>
      <w:r>
        <w:t>Ga naar ‘Measure’. Beide toestellen tonen ‘Ready’ en ‘Not zeroed’.</w:t>
      </w:r>
    </w:p>
    <w:p>
      <w:pPr>
        <w:ind w:left="397" w:hanging="397"/>
      </w:pPr>
      <w:r>
        <w:rPr>
          <w:b/>
        </w:rPr>
        <w:t xml:space="preserve">24.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25. </w:t>
      </w:r>
      <w:r>
        <w:t>Zet ‘Sample rate’ op 100 Hz. De frequentierespons van de zool is opgegeven tot 100 Hz; gebruik voor elke deelnemer en elke visite dezelfde waarde.</w:t>
      </w:r>
    </w:p>
    <w:p>
      <w:pPr>
        <w:ind w:left="397" w:hanging="397"/>
      </w:pPr>
      <w:r>
        <w:rPr>
          <w:b/>
        </w:rPr>
        <w:t xml:space="preserve">26.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9.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27. </w:t>
      </w:r>
      <w:r>
        <w:t>Leg de pedar-zool vlak in de schoen, bovenop wat er al in ligt, zonder plooien. Voor conditie B ligt ze dus bovenop de CMFO.</w:t>
      </w:r>
    </w:p>
    <w:p>
      <w:pPr>
        <w:ind w:left="397" w:hanging="397"/>
      </w:pPr>
      <w:r>
        <w:rPr>
          <w:b/>
        </w:rPr>
        <w:t xml:space="preserve">28. </w:t>
      </w:r>
      <w:r>
        <w:t>Leid de kabel langs de binnenkant van de schoen naar buiten, zonder dat hij geklemd raakt, en zet de zender met de klittenband vast op het onderbeen of de enkel.</w:t>
      </w:r>
    </w:p>
    <w:p>
      <w:pPr>
        <w:ind w:left="397" w:hanging="397"/>
      </w:pPr>
      <w:r>
        <w:rPr>
          <w:b/>
        </w:rPr>
        <w:t xml:space="preserve">29. </w:t>
      </w:r>
      <w:r>
        <w:t>Laat de deelnemer dunne, naadloze katoenen sokken aandoen — voor elke deelnemer hetzelfde type — en de schoenen aantrekken.</w:t>
      </w:r>
    </w:p>
    <w:p>
      <w:pPr>
        <w:keepNext/>
        <w:spacing w:before="200" w:after="80"/>
      </w:pPr>
      <w:r>
        <w:rPr>
          <w:b/>
          <w:color w:val="123A5F"/>
          <w:sz w:val="24"/>
        </w:rPr>
        <w:t>10. De meting</w:t>
      </w:r>
    </w:p>
    <w:p>
      <w:r>
        <w:rPr>
          <w:b/>
          <w:i w:val="0"/>
          <w:sz w:val="22"/>
        </w:rPr>
        <w:t>Vanaf visite 2 wordt gemeten in het binnenschoeisel — één paar, geen tweede. Op visite 1 is er nog geen studieschoeisel: dan meet je in de schoenen waarmee de deelnemer binnenkomt.</w:t>
      </w:r>
    </w:p>
    <w:p>
      <w:r>
        <w:rPr>
          <w:b w:val="0"/>
          <w:i w:val="0"/>
          <w:sz w:val="22"/>
        </w:rPr>
      </w:r>
    </w:p>
    <w:p>
      <w:r>
        <w:rPr>
          <w:b/>
          <w:i w:val="0"/>
          <w:sz w:val="22"/>
        </w:rPr>
        <w:t>Twee condities,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36 dan over: er is niets om aan te toetsen.</w:t>
      </w:r>
    </w:p>
    <w:p>
      <w:r>
        <w:rPr>
          <w:b w:val="0"/>
          <w:i w:val="0"/>
          <w:sz w:val="22"/>
        </w:rPr>
      </w:r>
    </w:p>
    <w:p>
      <w:pPr>
        <w:ind w:left="397" w:hanging="397"/>
      </w:pPr>
      <w:r>
        <w:rPr>
          <w:b/>
        </w:rPr>
        <w:t xml:space="preserve">30. </w:t>
      </w:r>
      <w:r>
        <w:t>Ga terug naar de database, naar het tabblad pedar Files van dit bezoek, en klik op ‘Measure’. Het meetprogramma opent met deze deelnemer en dit bezoek al gekoppeld.</w:t>
      </w:r>
    </w:p>
    <w:p>
      <w:pPr>
        <w:ind w:left="340"/>
      </w:pPr>
      <w:r>
        <w:rPr>
          <w:b/>
          <w:i w:val="0"/>
          <w:sz w:val="22"/>
        </w:rPr>
        <w:t>Start je toch rechtstreeks in novel studio, dan komt het bestand los te staan en moet het achteraf opgezocht en aan het juiste bezoek gehangen worden. Doe dat niet.</w:t>
      </w:r>
    </w:p>
    <w:p>
      <w:pPr>
        <w:ind w:left="397" w:hanging="397"/>
      </w:pPr>
      <w:r>
        <w:rPr>
          <w:b/>
        </w:rPr>
        <w:t xml:space="preserve">31. </w:t>
      </w:r>
      <w:r>
        <w:t>Vul bij ‘Measurement identification’ de conditie in: A zonder zool of B met zool. Deelnemerscode en visite komen uit de database.</w:t>
      </w:r>
    </w:p>
    <w:p>
      <w:pPr>
        <w:ind w:left="397" w:hanging="397"/>
      </w:pPr>
      <w:r>
        <w:rPr>
          <w:b/>
        </w:rPr>
        <w:t xml:space="preserve">32. </w:t>
      </w:r>
      <w:r>
        <w:t>Laat de deelnemer een paar meter wennen, buiten de meting.</w:t>
      </w:r>
    </w:p>
    <w:p>
      <w:pPr>
        <w:ind w:left="397" w:hanging="397"/>
      </w:pPr>
      <w:r>
        <w:rPr>
          <w:b/>
        </w:rPr>
        <w:t xml:space="preserve">33. </w:t>
      </w:r>
      <w:r>
        <w:t>Klik op ‘Start measurement’ en laat de deelnemer de looproute afleggen op zelfgekozen comfortsnelheid.</w:t>
      </w:r>
    </w:p>
    <w:p>
      <w:pPr>
        <w:ind w:left="397" w:hanging="397"/>
      </w:pPr>
      <w:r>
        <w:rPr>
          <w:b/>
        </w:rPr>
        <w:t xml:space="preserve">34.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35. </w:t>
      </w:r>
      <w:r>
        <w:t>Klik op ‘Stop’.</w:t>
      </w:r>
    </w:p>
    <w:p>
      <w:pPr>
        <w:ind w:left="397" w:hanging="397"/>
      </w:pPr>
      <w:r>
        <w:rPr>
          <w:b/>
        </w:rPr>
        <w:t xml:space="preserve">36. </w:t>
      </w:r>
      <w:r>
        <w:t>Voor conditie B: laat de deelnemer de schoenen uitdoen, leg de CMFO in de schoen en de pedar-zool daar bovenop, en herhaal stap 28 tot 35. Stel niet opnieuw nul. Houd de snelheid gelijk; bij opvolging mag ze maximaal 5% afwijken van de baselinemeting.</w:t>
      </w:r>
    </w:p>
    <w:p>
      <w:pPr>
        <w:keepNext/>
        <w:spacing w:before="200" w:after="80"/>
      </w:pPr>
      <w:r>
        <w:rPr>
          <w:b/>
          <w:color w:val="123A5F"/>
          <w:sz w:val="24"/>
        </w:rPr>
        <w:t>11. De meting bekijken en de piekdruk aflezen</w:t>
      </w:r>
    </w:p>
    <w:p>
      <w:pPr>
        <w:ind w:left="397" w:hanging="397"/>
      </w:pPr>
      <w:r>
        <w:rPr>
          <w:b/>
        </w:rPr>
        <w:t xml:space="preserve">37.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15: Chart controls — het meetvenster afbakenen</w:t>
      </w:r>
    </w:p>
    <w:p>
      <w:pPr>
        <w:spacing w:after="160"/>
        <w:jc w:val="center"/>
      </w:pPr>
      <w:r>
        <w:drawing>
          <wp:inline xmlns:a="http://schemas.openxmlformats.org/drawingml/2006/main" xmlns:pic="http://schemas.openxmlformats.org/drawingml/2006/picture">
            <wp:extent cx="5760000" cy="3339490"/>
            <wp:docPr id="15" name="Picture 15"/>
            <wp:cNvGraphicFramePr>
              <a:graphicFrameLocks noChangeAspect="1"/>
            </wp:cNvGraphicFramePr>
            <a:graphic>
              <a:graphicData uri="http://schemas.openxmlformats.org/drawingml/2006/picture">
                <pic:pic>
                  <pic:nvPicPr>
                    <pic:cNvPr id="0" name="Schermafbeelding 2026-09-10 100125.png"/>
                    <pic:cNvPicPr/>
                  </pic:nvPicPr>
                  <pic:blipFill>
                    <a:blip r:embed="rId24"/>
                    <a:stretch>
                      <a:fillRect/>
                    </a:stretch>
                  </pic:blipFill>
                  <pic:spPr>
                    <a:xfrm>
                      <a:off x="0" y="0"/>
                      <a:ext cx="5760000" cy="3339490"/>
                    </a:xfrm>
                    <a:prstGeom prst="rect"/>
                  </pic:spPr>
                </pic:pic>
              </a:graphicData>
            </a:graphic>
          </wp:inline>
        </w:drawing>
      </w:r>
    </w:p>
    <w:p>
      <w:pPr>
        <w:ind w:left="397" w:hanging="397"/>
      </w:pPr>
      <w:r>
        <w:rPr>
          <w:b/>
        </w:rPr>
        <w:t xml:space="preserve">38. </w:t>
      </w:r>
      <w:r>
        <w:t>Open ‘Chart controls’ om de grafiek af te bakenen: ‘Set Range’ zet begin en eind, en je kunt het venster ook verschuiven. ‘Fit All Data’ zet de weergave terug op de volledige meting.</w:t>
      </w:r>
    </w:p>
    <w:p>
      <w:pPr>
        <w:ind w:left="340"/>
      </w:pPr>
      <w:r>
        <w:rPr>
          <w:b/>
          <w:i w:val="0"/>
          <w:sz w:val="22"/>
        </w:rPr>
        <w:t>Let op: dit verandert alleen wat je ziet. De getallen onderaan blijven over de hele opname gerekend — Set Range knipt geen data weg.</w:t>
      </w:r>
    </w:p>
    <w:p>
      <w:pPr>
        <w:keepNext/>
        <w:spacing w:before="160"/>
      </w:pPr>
      <w:r>
        <w:rPr>
          <w:b/>
          <w:color w:val="123A5F"/>
          <w:sz w:val="20"/>
        </w:rPr>
        <w:t>Figuur 16: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6" name="Picture 16"/>
            <wp:cNvGraphicFramePr>
              <a:graphicFrameLocks noChangeAspect="1"/>
            </wp:cNvGraphicFramePr>
            <a:graphic>
              <a:graphicData uri="http://schemas.openxmlformats.org/drawingml/2006/picture">
                <pic:pic>
                  <pic:nvPicPr>
                    <pic:cNvPr id="0" name="Schermafbeelding 2026-09-10 095945.png"/>
                    <pic:cNvPicPr/>
                  </pic:nvPicPr>
                  <pic:blipFill>
                    <a:blip r:embed="rId25"/>
                    <a:stretch>
                      <a:fillRect/>
                    </a:stretch>
                  </pic:blipFill>
                  <pic:spPr>
                    <a:xfrm>
                      <a:off x="0" y="0"/>
                      <a:ext cx="5760000" cy="3343059"/>
                    </a:xfrm>
                    <a:prstGeom prst="rect"/>
                  </pic:spPr>
                </pic:pic>
              </a:graphicData>
            </a:graphic>
          </wp:inline>
        </w:drawing>
      </w:r>
    </w:p>
    <w:p>
      <w:pPr>
        <w:keepNext/>
        <w:spacing w:before="160"/>
      </w:pPr>
      <w:r>
        <w:rPr>
          <w:b/>
          <w:color w:val="123A5F"/>
          <w:sz w:val="20"/>
        </w:rPr>
        <w:t>Figuur 17: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7" name="Picture 17"/>
            <wp:cNvGraphicFramePr>
              <a:graphicFrameLocks noChangeAspect="1"/>
            </wp:cNvGraphicFramePr>
            <a:graphic>
              <a:graphicData uri="http://schemas.openxmlformats.org/drawingml/2006/picture">
                <pic:pic>
                  <pic:nvPicPr>
                    <pic:cNvPr id="0" name="Schermafbeelding 2026-09-10 100159.png"/>
                    <pic:cNvPicPr/>
                  </pic:nvPicPr>
                  <pic:blipFill>
                    <a:blip r:embed="rId26"/>
                    <a:stretch>
                      <a:fillRect/>
                    </a:stretch>
                  </pic:blipFill>
                  <pic:spPr>
                    <a:xfrm>
                      <a:off x="0" y="0"/>
                      <a:ext cx="5760000" cy="3351314"/>
                    </a:xfrm>
                    <a:prstGeom prst="rect"/>
                  </pic:spPr>
                </pic:pic>
              </a:graphicData>
            </a:graphic>
          </wp:inline>
        </w:drawing>
      </w:r>
    </w:p>
    <w:p>
      <w:pPr>
        <w:ind w:left="397" w:hanging="397"/>
      </w:pPr>
      <w:r>
        <w:rPr>
          <w:b/>
        </w:rPr>
        <w:t xml:space="preserve">39.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40. </w:t>
      </w:r>
      <w:r>
        <w:t>Lees onderaan per voet af: Maximum force, Peak pressure, Average pressure en Loaded area. Noteer ze in blok 3 van het blad ‘Meting’.</w:t>
      </w:r>
    </w:p>
    <w:p>
      <w:pPr>
        <w:ind w:left="397" w:hanging="397"/>
      </w:pPr>
      <w:r>
        <w:rPr>
          <w:b/>
        </w:rPr>
        <w:t xml:space="preserve">41. </w:t>
      </w:r>
      <w:r>
        <w:t>Noteer de drie hoogste piekdrukwaarden van dit beeld en waar op de voet ze liggen, in blok 4 van het blad ‘Meting’.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42. </w:t>
      </w:r>
      <w:r>
        <w:t>Maak een schermafbeelding van het MPP-beeld, met de kleurenschaal zichtbaar, en plak die in blok 6 van het blad ‘Meting’, in het vak van de juiste conditie.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i w:val="0"/>
          <w:sz w:val="22"/>
        </w:rPr>
        <w:t>Let op het verschil: de drie hoogste waarden uit stap 36 zijn wat je in dit beeld ziet; de drie doelregio’s zijn wat er ontlast moet worden. Die twee overlappen meestal, maar niet altijd — de regio met de vorige voetzweer telt altijd mee, ook als ze niet bij de hoogste drie zit.</w:t>
      </w:r>
    </w:p>
    <w:p>
      <w:r>
        <w:rPr>
          <w:b w:val="0"/>
          <w:i/>
          <w:sz w:val="22"/>
        </w:rPr>
        <w:t>De drie doelregio’s worden op eCRF 24 zelf aangeduid, boven de meettabellen: de regio met de voorgeschiedenis van voetzweer — die staat op eCRF 06 — plus per voet de twee plaatsen in de vóórvoet of de middenvoet met de hoogste piekdruk bóven 200 kPa. De hiel telt hier niet mee. Duid ze aan vóór je conditie B meet, anders weet je achteraf niet waarop je moest toetsen.</w:t>
      </w:r>
    </w:p>
    <w:p>
      <w:r>
        <w:rPr>
          <w:b/>
          <w:i w:val="0"/>
          <w:sz w:val="22"/>
        </w:rPr>
        <w:t>Op maand 6, 12 en 18 kies je ze niet opnieuw: neem dezelfde drie regio’s over van het vorige formulier. Alleen zo is te zien of de ontlasting op die plekken standhoudt. Heb je het vorige formulier niet bij de hand, vraag het dan op vóór de meting.</w:t>
      </w:r>
    </w:p>
    <w:p>
      <w:r>
        <w:rPr>
          <w:b w:val="0"/>
          <w:i/>
          <w:sz w:val="22"/>
        </w:rPr>
        <w:t>Bij opvolging laat je de zool ook aanpassen wanneer de piekdruk op een doelregio met 5% of meer gestegen is tegenover de vorige keer, ook al ligt ze nog onder de norm. Die regel staat in de Pressure Monitoring Tool.</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12.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gewoon door en noteer op het formulier dat de deelnemer is blijven staan. De norm gaat op MPP en verandert er niet door; wil het studieteam later de gemiddelden gebruiken, dan knipt ‘file master’ in de novel database die frames er alsnog uit — zie hoofdstuk 14.</w:t>
      </w:r>
    </w:p>
    <w:p>
      <w:r>
        <w:rPr>
          <w:b w:val="0"/>
          <w:i w:val="0"/>
          <w:sz w:val="22"/>
        </w:rPr>
        <w:t>Herhaal de doorgang alleen als de deelnemer zó lang stilstond dat er te weinig stappen overblijven.</w:t>
      </w:r>
    </w:p>
    <w:p>
      <w:pPr>
        <w:keepNext/>
        <w:spacing w:before="200" w:after="80"/>
      </w:pPr>
      <w:r>
        <w:rPr>
          <w:b/>
          <w:color w:val="123A5F"/>
          <w:sz w:val="24"/>
        </w:rPr>
        <w:t>13. Opslaan en afronden</w:t>
      </w:r>
    </w:p>
    <w:p>
      <w:r>
        <w:rPr>
          <w:b/>
          <w:i w:val="0"/>
          <w:sz w:val="22"/>
        </w:rPr>
        <w:t>Alles wat je noteert gaat op één blad: ‘Meting’ in de Pressure Monitoring Tool. De blokken staan in de volgorde van de meting.</w:t>
      </w:r>
    </w:p>
    <w:tbl>
      <w:tblPr>
        <w:tblStyle w:val="TableGrid"/>
        <w:tblW w:type="auto" w:w="0"/>
        <w:jc w:val="left"/>
        <w:tblLook w:firstColumn="1" w:firstRow="1" w:lastColumn="0" w:lastRow="0" w:noHBand="0" w:noVBand="1" w:val="04A0"/>
      </w:tblPr>
      <w:tblGrid>
        <w:gridCol w:w="4513"/>
        <w:gridCol w:w="4513"/>
      </w:tblGrid>
      <w:tr>
        <w:tc>
          <w:tcPr>
            <w:tcW w:type="dxa" w:w="1247"/>
          </w:tcPr>
          <w:p>
            <w:r/>
            <w:r>
              <w:rPr>
                <w:b/>
                <w:color w:val="123A5F"/>
                <w:sz w:val="20"/>
              </w:rPr>
              <w:t>Blok</w:t>
            </w:r>
          </w:p>
        </w:tc>
        <w:tc>
          <w:tcPr>
            <w:tcW w:type="dxa" w:w="7540"/>
          </w:tcPr>
          <w:p>
            <w:r/>
            <w:r>
              <w:rPr>
                <w:b/>
                <w:color w:val="123A5F"/>
                <w:sz w:val="20"/>
              </w:rPr>
              <w:t>Wat erin komt</w:t>
            </w:r>
          </w:p>
        </w:tc>
      </w:tr>
      <w:tr>
        <w:tc>
          <w:tcPr>
            <w:tcW w:type="dxa" w:w="1247"/>
          </w:tcPr>
          <w:p>
            <w:r/>
            <w:r>
              <w:rPr>
                <w:sz w:val="20"/>
              </w:rPr>
              <w:t>1 en 2</w:t>
            </w:r>
          </w:p>
        </w:tc>
        <w:tc>
          <w:tcPr>
            <w:tcW w:type="dxa" w:w="7540"/>
          </w:tcPr>
          <w:p>
            <w:r/>
            <w:r>
              <w:rPr>
                <w:sz w:val="20"/>
              </w:rPr>
              <w:t>Deelnemer, visite, datum, zoolcodes, batterij en configuratiebestand</w:t>
            </w:r>
          </w:p>
        </w:tc>
      </w:tr>
      <w:tr>
        <w:tc>
          <w:tcPr>
            <w:tcW w:type="dxa" w:w="1247"/>
          </w:tcPr>
          <w:p>
            <w:r/>
            <w:r>
              <w:rPr>
                <w:sz w:val="20"/>
              </w:rPr>
              <w:t>3</w:t>
            </w:r>
          </w:p>
        </w:tc>
        <w:tc>
          <w:tcPr>
            <w:tcW w:type="dxa" w:w="7540"/>
          </w:tcPr>
          <w:p>
            <w:r/>
            <w:r>
              <w:rPr>
                <w:sz w:val="20"/>
              </w:rPr>
              <w:t>De vier waarden per voet, voor conditie A en B</w:t>
            </w:r>
          </w:p>
        </w:tc>
      </w:tr>
      <w:tr>
        <w:tc>
          <w:tcPr>
            <w:tcW w:type="dxa" w:w="1247"/>
          </w:tcPr>
          <w:p>
            <w:r/>
            <w:r>
              <w:rPr>
                <w:sz w:val="20"/>
              </w:rPr>
              <w:t>4</w:t>
            </w:r>
          </w:p>
        </w:tc>
        <w:tc>
          <w:tcPr>
            <w:tcW w:type="dxa" w:w="7540"/>
          </w:tcPr>
          <w:p>
            <w:r/>
            <w:r>
              <w:rPr>
                <w:sz w:val="20"/>
              </w:rPr>
              <w:t>De drie hoogste piekdrukken per voet, met hun plaats — de kolommen ‘% verschil’ en ‘Norm gehaald?’ rekenen zelf</w:t>
            </w:r>
          </w:p>
        </w:tc>
      </w:tr>
      <w:tr>
        <w:tc>
          <w:tcPr>
            <w:tcW w:type="dxa" w:w="1247"/>
          </w:tcPr>
          <w:p>
            <w:r/>
            <w:r>
              <w:rPr>
                <w:sz w:val="20"/>
              </w:rPr>
              <w:t>5</w:t>
            </w:r>
          </w:p>
        </w:tc>
        <w:tc>
          <w:tcPr>
            <w:tcW w:type="dxa" w:w="7540"/>
          </w:tcPr>
          <w:p>
            <w:r/>
            <w:r>
              <w:rPr>
                <w:sz w:val="20"/>
              </w:rPr>
              <w:t>De drie doelregio’s, en of de druk sinds de vorige keer met 5% of meer gestegen is</w:t>
            </w:r>
          </w:p>
        </w:tc>
      </w:tr>
      <w:tr>
        <w:tc>
          <w:tcPr>
            <w:tcW w:type="dxa" w:w="1247"/>
          </w:tcPr>
          <w:p>
            <w:r/>
            <w:r>
              <w:rPr>
                <w:sz w:val="20"/>
              </w:rPr>
              <w:t>6</w:t>
            </w:r>
          </w:p>
        </w:tc>
        <w:tc>
          <w:tcPr>
            <w:tcW w:type="dxa" w:w="7540"/>
          </w:tcPr>
          <w:p>
            <w:r/>
            <w:r>
              <w:rPr>
                <w:sz w:val="20"/>
              </w:rPr>
              <w:t>De twee schermafbeeldingen</w:t>
            </w:r>
          </w:p>
        </w:tc>
      </w:tr>
      <w:tr>
        <w:tc>
          <w:tcPr>
            <w:tcW w:type="dxa" w:w="1247"/>
          </w:tcPr>
          <w:p>
            <w:r/>
            <w:r>
              <w:rPr>
                <w:sz w:val="20"/>
              </w:rPr>
              <w:t>7</w:t>
            </w:r>
          </w:p>
        </w:tc>
        <w:tc>
          <w:tcPr>
            <w:tcW w:type="dxa" w:w="7540"/>
          </w:tcPr>
          <w:p>
            <w:r/>
            <w:r>
              <w:rPr>
                <w:sz w:val="20"/>
              </w:rPr>
              <w:t>Blijft leeg tot het masker met de acht regio’s er is</w:t>
            </w:r>
          </w:p>
        </w:tc>
      </w:tr>
    </w:tbl>
    <w:p/>
    <w:p>
      <w:pPr>
        <w:ind w:left="397" w:hanging="397"/>
      </w:pPr>
      <w:r>
        <w:rPr>
          <w:b/>
        </w:rPr>
        <w:t xml:space="preserve">43. </w:t>
      </w:r>
      <w:r>
        <w:t>Gebruik ‘Export as’ om de meting te exporteren.</w:t>
      </w:r>
    </w:p>
    <w:p>
      <w:pPr>
        <w:ind w:left="397" w:hanging="397"/>
      </w:pPr>
      <w:r>
        <w:rPr>
          <w:b/>
        </w:rPr>
        <w:t xml:space="preserve">44. </w:t>
      </w:r>
      <w:r>
        <w:t>Noteer de bestandsnaam en de datum op eCRF 09 of 24, samen met de zoolcodes die je gebruikt hebt.</w:t>
      </w:r>
    </w:p>
    <w:p>
      <w:pPr>
        <w:ind w:left="397" w:hanging="397"/>
      </w:pPr>
      <w:r>
        <w:rPr>
          <w:b/>
        </w:rPr>
        <w:t xml:space="preserve">45. </w:t>
      </w:r>
      <w:r>
        <w:t>Controleer dat de schermafbeelding in de Pressure Monitoring Tool staat, bij de juiste deelnemer, het juiste meetmoment en de juiste conditie — zonder of met de zool.</w:t>
      </w:r>
    </w:p>
    <w:p>
      <w:pPr>
        <w:ind w:left="397" w:hanging="397"/>
      </w:pPr>
      <w:r>
        <w:rPr>
          <w:b/>
        </w:rPr>
        <w:t xml:space="preserve">46. </w:t>
      </w:r>
      <w:r>
        <w:t>Sla de Pressure Monitoring Tool op en mail ze naar janou.debuyser@kuleuven.be.</w:t>
      </w:r>
    </w:p>
    <w:p>
      <w:pPr>
        <w:ind w:left="397" w:hanging="397"/>
      </w:pPr>
      <w:r>
        <w:rPr>
          <w:b/>
        </w:rPr>
        <w:t xml:space="preserve">47. </w:t>
      </w:r>
      <w:r>
        <w:t>Laat het bestand op de laptop staan, ook als je het verstuurd hebt. Lukt het mailen niet, dan blijft het bewaard en wordt het bij een volgend studiebezoek opgehaald. Verwijder het nooit zelf.</w:t>
      </w:r>
    </w:p>
    <w:p>
      <w:pPr>
        <w:keepNext/>
        <w:spacing w:before="200" w:after="80"/>
      </w:pPr>
      <w:r>
        <w:rPr>
          <w:b/>
          <w:color w:val="123A5F"/>
          <w:sz w:val="24"/>
        </w:rPr>
        <w:t>14.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Pressure Monitoring Tool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15. Het systeem afsluiten</w:t>
      </w:r>
    </w:p>
    <w:p>
      <w:r>
        <w:rPr>
          <w:b/>
          <w:i w:val="0"/>
          <w:sz w:val="22"/>
        </w:rPr>
        <w:t>In deze volgorde. Zet je de zenders uit terwijl de software nog verbonden is, dan blijft novel studio op een toestel wachten dat er niet meer is.</w:t>
      </w:r>
    </w:p>
    <w:p>
      <w:pPr>
        <w:ind w:left="397" w:hanging="397"/>
      </w:pPr>
      <w:r>
        <w:rPr>
          <w:b/>
        </w:rPr>
        <w:t xml:space="preserve">48. </w:t>
      </w:r>
      <w:r>
        <w:t>Controleer dat de meting gestopt is: de timer staat stil en de knop ‘Stop’ is niet meer actief.</w:t>
      </w:r>
    </w:p>
    <w:p>
      <w:pPr>
        <w:ind w:left="397" w:hanging="397"/>
      </w:pPr>
      <w:r>
        <w:rPr>
          <w:b/>
        </w:rPr>
        <w:t xml:space="preserve">49. </w:t>
      </w:r>
      <w:r>
        <w:t>Sluit novel studio. Het bestand is al bewaard onder het bezoek waaruit je de meting startte.</w:t>
      </w:r>
    </w:p>
    <w:p>
      <w:pPr>
        <w:ind w:left="397" w:hanging="397"/>
      </w:pPr>
      <w:r>
        <w:rPr>
          <w:b/>
        </w:rPr>
        <w:t xml:space="preserve">50. </w:t>
      </w:r>
      <w:r>
        <w:t>Controleer in de database, in het tabblad pedar Files, dat de meting eronder staat. Sluit dan het bezoek met ‘Close’.</w:t>
      </w:r>
    </w:p>
    <w:p>
      <w:pPr>
        <w:ind w:left="397" w:hanging="397"/>
      </w:pPr>
      <w:r>
        <w:rPr>
          <w:b/>
        </w:rPr>
        <w:t xml:space="preserve">51. </w:t>
      </w:r>
      <w:r>
        <w:t>Ga in novel studio nog even naar ‘Manage Devices’ en verbreek de verbinding met beide toestellen, of sluit het programma zonder meer.</w:t>
      </w:r>
    </w:p>
    <w:p>
      <w:pPr>
        <w:ind w:left="397" w:hanging="397"/>
      </w:pPr>
      <w:r>
        <w:rPr>
          <w:b/>
        </w:rPr>
        <w:t xml:space="preserve">52. </w:t>
      </w:r>
      <w:r>
        <w:t>Zet beide zenders uit met de knop bovenaan, ingedrukt tot de lampjes doven.</w:t>
      </w:r>
    </w:p>
    <w:p>
      <w:pPr>
        <w:ind w:left="397" w:hanging="397"/>
      </w:pPr>
      <w:r>
        <w:rPr>
          <w:b/>
        </w:rPr>
        <w:t xml:space="preserve">53. </w:t>
      </w:r>
      <w:r>
        <w:t>Koppel de zolen los, veeg ze schoon en berg ze vlak op. Nooit vouwen of oprollen.</w:t>
      </w:r>
    </w:p>
    <w:p>
      <w:pPr>
        <w:ind w:left="397" w:hanging="397"/>
      </w:pPr>
      <w:r>
        <w:rPr>
          <w:b/>
        </w:rPr>
        <w:t xml:space="preserve">54. </w:t>
      </w:r>
      <w:r>
        <w:t>Zet de router uit.</w:t>
      </w:r>
    </w:p>
    <w:p>
      <w:pPr>
        <w:ind w:left="397" w:hanging="397"/>
      </w:pPr>
      <w:r>
        <w:rPr>
          <w:b/>
        </w:rPr>
        <w:t xml:space="preserve">55. </w:t>
      </w:r>
      <w:r>
        <w:t>Hang beide zenders aan de lader als de batterij onder de 30% staat.</w:t>
      </w:r>
    </w:p>
    <w:p>
      <w:r>
        <w:rPr>
          <w:b/>
          <w:i w:val="0"/>
          <w:sz w:val="22"/>
        </w:rPr>
        <w:t>Sluit de database pas af als je zeker weet dat de meting eronder staat. Een bestand dat niet gekoppeld is, is achteraf moeilijk terug te vinden.</w:t>
      </w:r>
    </w:p>
    <w:p>
      <w:pPr>
        <w:keepNext/>
        <w:spacing w:before="200" w:after="80"/>
      </w:pPr>
      <w:r>
        <w:rPr>
          <w:b/>
          <w:color w:val="123A5F"/>
          <w:sz w:val="24"/>
        </w:rPr>
        <w:t>16. Vastgelopen? Zo zet je het terug</w:t>
      </w:r>
    </w:p>
    <w:p>
      <w:r>
        <w:rPr>
          <w:b/>
          <w:i w:val="0"/>
          <w:sz w:val="22"/>
        </w:rPr>
        <w:t>Werk van licht naar zwaar en stop zodra het weer werkt. Ga pas een trede verder als de vorige niet hielp.</w:t>
      </w:r>
    </w:p>
    <w:tbl>
      <w:tblPr>
        <w:tblStyle w:val="TableGrid"/>
        <w:tblW w:type="auto" w:w="0"/>
        <w:jc w:val="left"/>
        <w:tblLook w:firstColumn="1" w:firstRow="1" w:lastColumn="0" w:lastRow="0" w:noHBand="0" w:noVBand="1" w:val="04A0"/>
      </w:tblPr>
      <w:tblGrid>
        <w:gridCol w:w="4513"/>
        <w:gridCol w:w="4513"/>
      </w:tblGrid>
      <w:tr>
        <w:tc>
          <w:tcPr>
            <w:tcW w:type="dxa" w:w="1814"/>
          </w:tcPr>
          <w:p>
            <w:r/>
            <w:r>
              <w:rPr>
                <w:b/>
                <w:color w:val="123A5F"/>
                <w:sz w:val="20"/>
              </w:rPr>
              <w:t>Trede</w:t>
            </w:r>
          </w:p>
        </w:tc>
        <w:tc>
          <w:tcPr>
            <w:tcW w:type="dxa" w:w="6973"/>
          </w:tcPr>
          <w:p>
            <w:r/>
            <w:r>
              <w:rPr>
                <w:b/>
                <w:color w:val="123A5F"/>
                <w:sz w:val="20"/>
              </w:rPr>
              <w:t>Wat je doet</w:t>
            </w:r>
          </w:p>
        </w:tc>
      </w:tr>
      <w:tr>
        <w:tc>
          <w:tcPr>
            <w:tcW w:type="dxa" w:w="1814"/>
          </w:tcPr>
          <w:p>
            <w:r/>
            <w:r>
              <w:rPr>
                <w:sz w:val="20"/>
              </w:rPr>
              <w:t>1. Verbinding</w:t>
            </w:r>
          </w:p>
        </w:tc>
        <w:tc>
          <w:tcPr>
            <w:tcW w:type="dxa" w:w="6973"/>
          </w:tcPr>
          <w:p>
            <w:r/>
            <w:r>
              <w:rPr>
                <w:sz w:val="20"/>
              </w:rPr>
              <w:t>‘Manage Devices’ → ‘Connect’ onder het toestel dat eruit ligt. Daarna ‘Scan Wi-Fi’ als het toestel helemaal niet meer in de lijst staat.</w:t>
            </w:r>
          </w:p>
        </w:tc>
      </w:tr>
      <w:tr>
        <w:tc>
          <w:tcPr>
            <w:tcW w:type="dxa" w:w="1814"/>
          </w:tcPr>
          <w:p>
            <w:r/>
            <w:r>
              <w:rPr>
                <w:sz w:val="20"/>
              </w:rPr>
              <w:t>2. Het toestel</w:t>
            </w:r>
          </w:p>
        </w:tc>
        <w:tc>
          <w:tcPr>
            <w:tcW w:type="dxa" w:w="6973"/>
          </w:tcPr>
          <w:p>
            <w:r/>
            <w:r>
              <w:rPr>
                <w:sz w:val="20"/>
              </w:rPr>
              <w:t>Zet de zender uit met de knop bovenaan, wacht tot de lampjes uit zijn, zet hem weer aan en verbind opnieuw.</w:t>
            </w:r>
          </w:p>
        </w:tc>
      </w:tr>
      <w:tr>
        <w:tc>
          <w:tcPr>
            <w:tcW w:type="dxa" w:w="1814"/>
          </w:tcPr>
          <w:p>
            <w:r/>
            <w:r>
              <w:rPr>
                <w:sz w:val="20"/>
              </w:rPr>
              <w:t>3. De software</w:t>
            </w:r>
          </w:p>
        </w:tc>
        <w:tc>
          <w:tcPr>
            <w:tcW w:type="dxa" w:w="6973"/>
          </w:tcPr>
          <w:p>
            <w:r/>
            <w:r>
              <w:rPr>
                <w:sz w:val="20"/>
              </w:rPr>
              <w:t>Sluit novel studio volledig en start de meting opnieuw vanuit de database.</w:t>
            </w:r>
          </w:p>
        </w:tc>
      </w:tr>
      <w:tr>
        <w:tc>
          <w:tcPr>
            <w:tcW w:type="dxa" w:w="1814"/>
          </w:tcPr>
          <w:p>
            <w:r/>
            <w:r>
              <w:rPr>
                <w:sz w:val="20"/>
              </w:rPr>
              <w:t>4. Het netwerk</w:t>
            </w:r>
          </w:p>
        </w:tc>
        <w:tc>
          <w:tcPr>
            <w:tcW w:type="dxa" w:w="6973"/>
          </w:tcPr>
          <w:p>
            <w:r/>
            <w:r>
              <w:rPr>
                <w:sz w:val="20"/>
              </w:rPr>
              <w:t>Zet de router uit en weer aan. Wacht tot het netwerk plidarRouterE046 weer zichtbaar is en verbind daarna de zenders opnieuw.</w:t>
            </w:r>
          </w:p>
        </w:tc>
      </w:tr>
      <w:tr>
        <w:tc>
          <w:tcPr>
            <w:tcW w:type="dxa" w:w="1814"/>
          </w:tcPr>
          <w:p>
            <w:r/>
            <w:r>
              <w:rPr>
                <w:sz w:val="20"/>
              </w:rPr>
              <w:t>5. De laptop</w:t>
            </w:r>
          </w:p>
        </w:tc>
        <w:tc>
          <w:tcPr>
            <w:tcW w:type="dxa" w:w="6973"/>
          </w:tcPr>
          <w:p>
            <w:r/>
            <w:r>
              <w:rPr>
                <w:sz w:val="20"/>
              </w:rPr>
              <w:t>Herstart de laptop. Start daarna eerst de database, dan pas de meting.</w:t>
            </w:r>
          </w:p>
        </w:tc>
      </w:tr>
    </w:tbl>
    <w:p/>
    <w:p>
      <w:r>
        <w:rPr>
          <w:b/>
          <w:i w:val="0"/>
          <w:sz w:val="22"/>
        </w:rPr>
        <w:t>Na élke reset: opnieuw nulstellen met de zolen onbelast op tafel, en daarna béide condities opnieuw meten. Een nieuwe nulstelling geeft een nieuwe nullijn, en A en B moeten tegen dezelfde nullijn staan.</w:t>
      </w:r>
    </w:p>
    <w:p>
      <w:r>
        <w:rPr>
          <w:b/>
          <w:i w:val="0"/>
          <w:sz w:val="22"/>
        </w:rPr>
        <w:t>Verder dan trede 5 gaat niet zonder novel erbij. Er is in het materiaal dat we in huis hebben — de handleidingen van de database en de zoolcataloog — geen fabrieksreset van de zender beschreven. Probeer er geen uit: een zender met gewiste configuratiebestanden is onbruikbaar tot novel ze opnieuw laadt. Noteer wat er gebeurde en meld het.</w:t>
      </w:r>
    </w:p>
    <w:p>
      <w:pPr>
        <w:keepNext/>
        <w:spacing w:before="200" w:after="80"/>
      </w:pPr>
      <w:r>
        <w:rPr>
          <w:b/>
          <w:color w:val="123A5F"/>
          <w:sz w:val="24"/>
        </w:rPr>
        <w:t>17.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18.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12.</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14),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13); hoe het geëxporteerde meetbestand bij het studieteam raakt nog niet.</w:t>
      </w:r>
    </w:p>
    <w:p>
      <w:pPr>
        <w:ind w:left="397" w:hanging="397"/>
      </w:pPr>
      <w:r>
        <w:rPr>
          <w:b/>
        </w:rPr>
        <w:t xml:space="preserve">5. </w:t>
      </w:r>
      <w:r>
        <w:t>Het blad ‘Visit’ van de Pressure Monitoring Tool kent nog zes regio’s per voet in plaats van acht: de middenvoet is niet gesplitst en tenen 2-5 ontbreken. Dat geldt voor het overzicht, voor de twee blokken waar de ruwe export in geplakt wordt én voor de hulpkolommen waar de grafieken uit lezen. Pas om te bouwen zodra het masker de zestien velden A tot P oplevert — anders twee keer werk. Het blad ‘Meting’ heeft de acht regio’s al.</w:t>
      </w:r>
    </w:p>
    <w:p>
      <w:pPr>
        <w:ind w:left="397" w:hanging="397"/>
      </w:pPr>
      <w:r>
        <w:rPr>
          <w:b/>
        </w:rPr>
        <w:t xml:space="preserve">6. </w:t>
      </w:r>
      <w:r>
        <w:t>Of er één centrale database komt of één per centrum. Dát er vanuit de database gemeten wordt ligt vast (hoofdstuk 3 en 10), maar Sint_Jan_Paradise_Project draait voorlopig lokaal: hoe de vijf andere centra erin terechtkomen en hoe de back-up loopt, is nog niet beslist.</w:t>
      </w:r>
    </w:p>
    <w:p>
      <w:pPr>
        <w:ind w:left="397" w:hanging="397"/>
      </w:pPr>
      <w:r>
        <w:rPr>
          <w:b/>
        </w:rPr>
        <w:t xml:space="preserve">7.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