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 xml:space="preserve">(for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774DB"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774DB"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774DB"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  Introduction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each demonstrated value,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4,5,6</w:t>
      </w:r>
      <w:r w:rsidR="00AB331B" w:rsidRPr="005F5A72">
        <w:rPr>
          <w:rFonts w:ascii="Garamond" w:hAnsi="Garamond"/>
          <w:lang w:val="en-US"/>
        </w:rPr>
        <w:fldChar w:fldCharType="end"/>
      </w:r>
      <w:r>
        <w:rPr>
          <w:rFonts w:ascii="Garamond" w:hAnsi="Garamond"/>
        </w:rPr>
        <w:t xml:space="preserve"> but they are not yet systematically combined in Belgian diabetic-foot pathways.</w:t>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4,5</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7,8</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7,9</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10</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 This doctoral project will evaluate the clinical effectiveness of PARADISE within Belgian DFCs.</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  General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  Methodology</w:t>
      </w:r>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w:t>
      </w:r>
      <w:r w:rsidR="00D75C6C" w:rsidRPr="00D75C6C">
        <w:rPr>
          <w:rFonts w:ascii="Garamond" w:hAnsi="Garamond"/>
          <w:lang w:val="en-GB"/>
        </w:rPr>
        <w:lastRenderedPageBreak/>
        <w:t>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4</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5,11,12</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9,13</w:t>
      </w:r>
      <w:r w:rsidR="00AB331B" w:rsidRPr="005F5A72">
        <w:rPr>
          <w:rFonts w:ascii="Garamond" w:hAnsi="Garamond"/>
          <w:vertAlign w:val="superscript"/>
          <w:lang w:val="en-US"/>
        </w:rPr>
        <w:fldChar w:fldCharType="end"/>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5323795" cy="2981325"/>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339885" cy="2990335"/>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4,14</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4,5,8</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10</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 xml:space="preserve">Secondary outcomes comprise ulcer-free survival, recurrence characteristics, plantar-pressure change at 6, 12, and 18 months, foot-care behaviour (NAFF), objectively measured adherence over the full 18 months, </w:t>
      </w:r>
      <w:r w:rsidRPr="007760C2">
        <w:rPr>
          <w:rFonts w:ascii="Garamond" w:hAnsi="Garamond"/>
          <w:lang w:val="en-GB"/>
        </w:rPr>
        <w:lastRenderedPageBreak/>
        <w:t>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4</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15,16</w:t>
      </w:r>
      <w:r w:rsidR="00AB331B" w:rsidRPr="005F5A72">
        <w:rPr>
          <w:rFonts w:ascii="Garamond" w:hAnsi="Garamond"/>
          <w:lang w:val="en-US"/>
        </w:rPr>
        <w:fldChar w:fldCharType="end"/>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17</w:t>
      </w:r>
      <w:r w:rsidR="00AB331B" w:rsidRPr="005F5A72">
        <w:rPr>
          <w:rFonts w:ascii="Garamond" w:hAnsi="Garamond"/>
          <w:lang w:val="en-US"/>
        </w:rPr>
        <w:fldChar w:fldCharType="end"/>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with the VUB partners responsible for the process and health-economic evaluation,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6104285" cy="25527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115368" cy="2557335"/>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lastRenderedPageBreak/>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21</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t>5.  Conclusion: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“Patient-specific offloading insole design in diabetic foot disease”;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22</w:t>
      </w:r>
      <w:r w:rsidR="00AB331B" w:rsidRPr="005F5A72">
        <w:rPr>
          <w:rFonts w:ascii="Garamond" w:hAnsi="Garamond"/>
          <w:lang w:val="en-US"/>
        </w:rPr>
        <w:fldChar w:fldCharType="end"/>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Sciensano. Diabetes. In: For a Healthy Belgium [Internet]. 2025 [cited 2026 Jun 4].</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Waaijman R, de Haart M, Arts MLJ, Wever D, Verlouw AJWE, Nollet F, et al. Risk Factors for Plantar Foot Ulcer Recurrence in Neuropathic Diabetic Patients. Diabetes Care. 2014;37:1697-705.</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Bus SA, Waaijman R, Arts M, de Haart M, Busch-Westbroek T, van Baal J, et al. Effect of Custom-Made Footwear on Foot Ulcer Recurrence in Diabetes. Diabetes Care. 2013;36:4109-16.</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5.</w:t>
      </w:r>
      <w:r w:rsidRPr="00E55EF8">
        <w:rPr>
          <w:sz w:val="16"/>
          <w:szCs w:val="16"/>
          <w:lang w:val="en-GB"/>
        </w:rPr>
        <w:tab/>
        <w:t>Waaijman R, Keukenkamp R, de Haart M, Polomski WP, Nollet F, Bus SA. Adherence to Wearing Prescription Custom-Made Footwear in Patients With Diabetes at High Risk for Plantar Foot Ulceration. Diabetes Care. 2013;36:1613-8.</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r>
      <w:r w:rsidRPr="00E55EF8">
        <w:rPr>
          <w:sz w:val="16"/>
          <w:szCs w:val="16"/>
          <w:lang w:val="en-GB"/>
        </w:rPr>
        <w:t>6.</w:t>
      </w:r>
      <w:r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12.</w:t>
      </w:r>
      <w:r w:rsidRPr="0046322F">
        <w:rPr>
          <w:sz w:val="16"/>
          <w:szCs w:val="16"/>
          <w:lang w:val="en-GB"/>
        </w:rPr>
        <w:tab/>
        <w:t>Lutjeboer T, van Netten JJ, Postema K, Hijmans J. Effect of awareness of being monitored on wearing of orthopaedic footwear. J Rehabil Med. 2020;52:jrm00127.</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Vossen LE, van Netten JJ, Bakker CD, Berendsen HA, Busch-Westbroek TE, Peters EJG, et al. An integrated personalized assistive devices approach to reduce the risk of foot ulcer recurrence in diabetes (DIASSIST): study protocol for a multicenter randomized controlled trial. Trials. 2023;24:663.</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White IR, Royston P, Wood AM. Multiple imputation using chained equations: Issues and guidance for practice. Stat Med. 2011;30:377-99.</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Mallinckrodt C, Lipkovich I, Dickson S, Hendrix S, Molenberghs G. Handling Missing Data in Participants with Baseline but No Post‐Baseline Data. Pharm Stat. 2026;25:e70076.</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Herdman M, Gudex C, Lloyd A, Janssen MF, Kind P, Parkin D, et al. Development and preliminary testing of the new five-level version of EQ-5D (EQ-5D-5L). Qual Life Res. 2011;20:1727-36.</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Chan AW, Boutron I, Hopewell S, Moher D, Schulz KF, Collins GS, et al. SPIRIT 2025 statement: updated guideline for protocols of randomised trials. BMJ. 2025;389:e081477.</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89" w14:textId="77777777" w:rsidR="00AE379F" w:rsidRDefault="00AE379F">
      <w:r>
        <w:separator/>
      </w:r>
    </w:p>
  </w:endnote>
  <w:endnote w:type="continuationSeparator" w:id="0">
    <w:p w14:paraId="29C4E909" w14:textId="77777777" w:rsidR="00AE379F" w:rsidRDefault="00AE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D7A9" w14:textId="77777777" w:rsidR="00AE379F" w:rsidRDefault="00AE379F">
      <w:r>
        <w:separator/>
      </w:r>
    </w:p>
  </w:footnote>
  <w:footnote w:type="continuationSeparator" w:id="0">
    <w:p w14:paraId="12FA6429" w14:textId="77777777" w:rsidR="00AE379F" w:rsidRDefault="00AE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14034</Words>
  <Characters>93053</Characters>
  <Application>Microsoft Office Word</Application>
  <DocSecurity>0</DocSecurity>
  <Lines>1550</Lines>
  <Paragraphs>591</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111</cp:revision>
  <dcterms:created xsi:type="dcterms:W3CDTF">2026-07-17T12:03:00Z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